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4314"/>
        <w:gridCol w:w="923"/>
        <w:gridCol w:w="4049"/>
      </w:tblGrid>
      <w:tr w:rsidR="00D02BD8" w:rsidRPr="001C37EB">
        <w:trPr>
          <w:trHeight w:val="270"/>
        </w:trPr>
        <w:tc>
          <w:tcPr>
            <w:tcW w:w="2323" w:type="pct"/>
            <w:vAlign w:val="center"/>
          </w:tcPr>
          <w:p w:rsidR="00D02BD8" w:rsidRPr="00F05B45" w:rsidRDefault="00D02BD8" w:rsidP="00D02BD8">
            <w:pPr>
              <w:rPr>
                <w:sz w:val="24"/>
                <w:szCs w:val="24"/>
              </w:rPr>
            </w:pPr>
          </w:p>
        </w:tc>
        <w:tc>
          <w:tcPr>
            <w:tcW w:w="497" w:type="pct"/>
            <w:vAlign w:val="center"/>
          </w:tcPr>
          <w:p w:rsidR="00D02BD8" w:rsidRPr="001C37EB" w:rsidRDefault="00D02BD8" w:rsidP="00D02BD8">
            <w:pPr>
              <w:ind w:left="227"/>
              <w:rPr>
                <w:rFonts w:cs="Arial"/>
                <w:b/>
              </w:rPr>
            </w:pPr>
          </w:p>
        </w:tc>
        <w:tc>
          <w:tcPr>
            <w:tcW w:w="2180" w:type="pct"/>
            <w:vAlign w:val="center"/>
          </w:tcPr>
          <w:p w:rsidR="00D02BD8" w:rsidRPr="008B239D" w:rsidRDefault="00D02BD8" w:rsidP="00EC2373">
            <w:pPr>
              <w:rPr>
                <w:rFonts w:cs="Arial"/>
                <w:b/>
                <w:sz w:val="20"/>
                <w:szCs w:val="20"/>
              </w:rPr>
            </w:pPr>
            <w:r w:rsidRPr="008B239D">
              <w:rPr>
                <w:rFonts w:cs="Arial"/>
                <w:b/>
                <w:sz w:val="20"/>
                <w:szCs w:val="20"/>
              </w:rPr>
              <w:t>Βαθμός Ασφαλείας:</w:t>
            </w:r>
          </w:p>
          <w:p w:rsidR="00D02BD8" w:rsidRPr="008B239D" w:rsidRDefault="00D02BD8" w:rsidP="00EC2373">
            <w:pPr>
              <w:rPr>
                <w:rFonts w:cs="Arial"/>
                <w:b/>
                <w:sz w:val="20"/>
                <w:szCs w:val="20"/>
              </w:rPr>
            </w:pPr>
            <w:r w:rsidRPr="008B239D">
              <w:rPr>
                <w:rFonts w:cs="Arial"/>
                <w:b/>
                <w:sz w:val="20"/>
                <w:szCs w:val="20"/>
              </w:rPr>
              <w:t>Να διατηρηθεί μέχρι:</w:t>
            </w:r>
          </w:p>
        </w:tc>
      </w:tr>
      <w:tr w:rsidR="00C83B95" w:rsidRPr="001C37EB">
        <w:trPr>
          <w:trHeight w:val="270"/>
        </w:trPr>
        <w:tc>
          <w:tcPr>
            <w:tcW w:w="2323" w:type="pct"/>
            <w:vAlign w:val="center"/>
          </w:tcPr>
          <w:p w:rsidR="00C83B95" w:rsidRPr="005A2289" w:rsidRDefault="00C83B95" w:rsidP="00D02BD8">
            <w:pPr>
              <w:rPr>
                <w:sz w:val="24"/>
                <w:szCs w:val="24"/>
              </w:rPr>
            </w:pPr>
          </w:p>
        </w:tc>
        <w:tc>
          <w:tcPr>
            <w:tcW w:w="497" w:type="pct"/>
            <w:vAlign w:val="center"/>
          </w:tcPr>
          <w:p w:rsidR="00C83B95" w:rsidRPr="001C37EB" w:rsidRDefault="00C83B95" w:rsidP="00D02BD8">
            <w:pPr>
              <w:ind w:left="227"/>
              <w:rPr>
                <w:rFonts w:cs="Arial"/>
                <w:b/>
              </w:rPr>
            </w:pPr>
          </w:p>
        </w:tc>
        <w:tc>
          <w:tcPr>
            <w:tcW w:w="2180" w:type="pct"/>
            <w:vAlign w:val="center"/>
          </w:tcPr>
          <w:p w:rsidR="00C83B95" w:rsidRPr="008B239D" w:rsidRDefault="00C83B95" w:rsidP="008B239D">
            <w:pPr>
              <w:jc w:val="right"/>
              <w:rPr>
                <w:rFonts w:cs="Arial"/>
                <w:b/>
                <w:sz w:val="20"/>
                <w:szCs w:val="20"/>
              </w:rPr>
            </w:pPr>
          </w:p>
        </w:tc>
      </w:tr>
      <w:tr w:rsidR="008B239D" w:rsidRPr="001C37EB">
        <w:trPr>
          <w:trHeight w:val="2490"/>
        </w:trPr>
        <w:tc>
          <w:tcPr>
            <w:tcW w:w="2323" w:type="pct"/>
            <w:vAlign w:val="center"/>
          </w:tcPr>
          <w:p w:rsidR="008B239D" w:rsidRPr="001C37EB" w:rsidRDefault="003B6BE0" w:rsidP="00D02BD8">
            <w:pPr>
              <w:jc w:val="center"/>
              <w:rPr>
                <w:sz w:val="24"/>
                <w:szCs w:val="24"/>
                <w:lang w:val="en-US"/>
              </w:rPr>
            </w:pPr>
            <w:r w:rsidRPr="003B6BE0">
              <w:rPr>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ED" style="width:32.25pt;height:32.25pt;visibility:visible">
                  <v:imagedata r:id="rId7" o:title="ED"/>
                </v:shape>
              </w:pict>
            </w:r>
          </w:p>
          <w:p w:rsidR="008B239D" w:rsidRPr="001C37EB" w:rsidRDefault="008B239D" w:rsidP="00D02BD8">
            <w:pPr>
              <w:jc w:val="center"/>
              <w:rPr>
                <w:rFonts w:cs="Arial"/>
                <w:sz w:val="24"/>
                <w:szCs w:val="24"/>
              </w:rPr>
            </w:pPr>
            <w:r w:rsidRPr="001C37EB">
              <w:rPr>
                <w:rFonts w:cs="Arial"/>
                <w:sz w:val="24"/>
                <w:szCs w:val="24"/>
              </w:rPr>
              <w:t>ΕΛΛΗΝΙΚΗ ΔΗΜΟΚΡΑΤΙΑ</w:t>
            </w:r>
          </w:p>
          <w:p w:rsidR="008B239D" w:rsidRPr="00EC2373" w:rsidRDefault="00EC2373" w:rsidP="00EC2373">
            <w:pPr>
              <w:jc w:val="center"/>
              <w:rPr>
                <w:rFonts w:cs="Arial"/>
                <w:szCs w:val="20"/>
              </w:rPr>
            </w:pPr>
            <w:r w:rsidRPr="00EC2373">
              <w:rPr>
                <w:rFonts w:cs="Arial"/>
                <w:szCs w:val="20"/>
              </w:rPr>
              <w:t xml:space="preserve">ΥΠΟΥΡΓΕΙΟ  ΠΑΙΔΕΙΑΣ </w:t>
            </w:r>
            <w:r w:rsidR="008B239D" w:rsidRPr="00EC2373">
              <w:rPr>
                <w:rFonts w:cs="Arial"/>
                <w:szCs w:val="20"/>
              </w:rPr>
              <w:t>ΚΑΙ ΘΡΗΣΚΕΥΜΑΤΩΝ</w:t>
            </w:r>
            <w:r w:rsidR="00132CF3" w:rsidRPr="00EC2373">
              <w:rPr>
                <w:rFonts w:cs="Arial"/>
                <w:szCs w:val="20"/>
              </w:rPr>
              <w:t>, ΑΘΛΗΤΙΣΜΟΥ ΚΑΙ ΠΟΛΙΤΙΣΜΟΥ</w:t>
            </w:r>
          </w:p>
          <w:p w:rsidR="008B239D" w:rsidRPr="001C37EB" w:rsidRDefault="008B239D" w:rsidP="00D02BD8">
            <w:pPr>
              <w:jc w:val="center"/>
              <w:rPr>
                <w:rFonts w:cs="Arial"/>
                <w:sz w:val="20"/>
              </w:rPr>
            </w:pPr>
            <w:r w:rsidRPr="001C37EB">
              <w:rPr>
                <w:rFonts w:cs="Arial"/>
                <w:sz w:val="20"/>
              </w:rPr>
              <w:t>-----</w:t>
            </w:r>
          </w:p>
          <w:p w:rsidR="008B239D" w:rsidRPr="001C37EB" w:rsidRDefault="008B239D" w:rsidP="00D02BD8">
            <w:pPr>
              <w:tabs>
                <w:tab w:val="left" w:pos="1701"/>
              </w:tabs>
              <w:jc w:val="center"/>
              <w:rPr>
                <w:rFonts w:cs="Arial"/>
                <w:sz w:val="20"/>
              </w:rPr>
            </w:pPr>
            <w:r w:rsidRPr="001C37EB">
              <w:rPr>
                <w:rFonts w:cs="Arial"/>
                <w:sz w:val="20"/>
              </w:rPr>
              <w:t>ΓΕΝΙΚΗ Δ/ΝΣΗ ΔΙΟΙΚΗΣΗΣ Π.Ε. &amp;  Δ.Ε.</w:t>
            </w:r>
          </w:p>
          <w:p w:rsidR="008B239D" w:rsidRDefault="008B239D" w:rsidP="00D02BD8">
            <w:pPr>
              <w:tabs>
                <w:tab w:val="left" w:pos="1701"/>
              </w:tabs>
              <w:jc w:val="center"/>
              <w:rPr>
                <w:rFonts w:cs="Arial"/>
                <w:sz w:val="20"/>
              </w:rPr>
            </w:pPr>
            <w:r w:rsidRPr="001C37EB">
              <w:rPr>
                <w:rFonts w:cs="Arial"/>
                <w:sz w:val="20"/>
              </w:rPr>
              <w:t xml:space="preserve">ΔΙΕΥΘΥΝΣΗ ΠΡΟΣ/ΚΟΥ  </w:t>
            </w:r>
          </w:p>
          <w:p w:rsidR="008B239D" w:rsidRPr="001C37EB" w:rsidRDefault="008B239D" w:rsidP="00D02BD8">
            <w:pPr>
              <w:tabs>
                <w:tab w:val="left" w:pos="1701"/>
              </w:tabs>
              <w:jc w:val="center"/>
              <w:rPr>
                <w:rFonts w:cs="Arial"/>
                <w:sz w:val="20"/>
              </w:rPr>
            </w:pPr>
            <w:r w:rsidRPr="00EC4A17">
              <w:rPr>
                <w:rFonts w:cs="Arial"/>
                <w:sz w:val="20"/>
              </w:rPr>
              <w:t>Β/ΘΜΙΑΣ  ΕΚΠ/ΣΗΣ</w:t>
            </w:r>
          </w:p>
          <w:p w:rsidR="008B239D" w:rsidRPr="001C37EB" w:rsidRDefault="008B239D" w:rsidP="00D02BD8">
            <w:pPr>
              <w:tabs>
                <w:tab w:val="left" w:pos="1701"/>
              </w:tabs>
              <w:jc w:val="center"/>
              <w:rPr>
                <w:rFonts w:cs="Arial"/>
                <w:sz w:val="20"/>
              </w:rPr>
            </w:pPr>
            <w:r w:rsidRPr="001C37EB">
              <w:rPr>
                <w:rFonts w:cs="Arial"/>
                <w:sz w:val="20"/>
              </w:rPr>
              <w:t>ΤΜΗΜΑ</w:t>
            </w:r>
            <w:r>
              <w:rPr>
                <w:rFonts w:cs="Arial"/>
                <w:sz w:val="20"/>
              </w:rPr>
              <w:t xml:space="preserve"> </w:t>
            </w:r>
            <w:r w:rsidRPr="001C37EB">
              <w:rPr>
                <w:rFonts w:cs="Arial"/>
                <w:sz w:val="20"/>
              </w:rPr>
              <w:t>Γ΄</w:t>
            </w:r>
          </w:p>
          <w:p w:rsidR="008B239D" w:rsidRPr="001C37EB" w:rsidRDefault="008B239D" w:rsidP="00D02BD8">
            <w:pPr>
              <w:tabs>
                <w:tab w:val="left" w:pos="1843"/>
              </w:tabs>
              <w:ind w:left="-57"/>
              <w:jc w:val="center"/>
              <w:rPr>
                <w:rFonts w:cs="Arial"/>
              </w:rPr>
            </w:pPr>
            <w:r w:rsidRPr="001C37EB">
              <w:rPr>
                <w:rFonts w:cs="Arial"/>
                <w:sz w:val="20"/>
              </w:rPr>
              <w:t>-----</w:t>
            </w:r>
          </w:p>
        </w:tc>
        <w:tc>
          <w:tcPr>
            <w:tcW w:w="497" w:type="pct"/>
            <w:vAlign w:val="center"/>
          </w:tcPr>
          <w:p w:rsidR="008B239D" w:rsidRPr="008B239D" w:rsidRDefault="008B239D" w:rsidP="00D02BD8">
            <w:pPr>
              <w:ind w:left="227"/>
              <w:rPr>
                <w:rFonts w:cs="Arial"/>
                <w:b/>
                <w:sz w:val="24"/>
                <w:szCs w:val="24"/>
              </w:rPr>
            </w:pPr>
            <w:r w:rsidRPr="001C37EB">
              <w:rPr>
                <w:rFonts w:cs="Arial"/>
                <w:b/>
              </w:rPr>
              <w:t xml:space="preserve"> </w:t>
            </w:r>
          </w:p>
        </w:tc>
        <w:tc>
          <w:tcPr>
            <w:tcW w:w="2180" w:type="pct"/>
          </w:tcPr>
          <w:p w:rsidR="00C83B95" w:rsidRPr="00383A48" w:rsidRDefault="00A201E1" w:rsidP="00832B85">
            <w:pPr>
              <w:rPr>
                <w:b/>
              </w:rPr>
            </w:pPr>
            <w:r w:rsidRPr="00127B98">
              <w:rPr>
                <w:b/>
              </w:rPr>
              <w:t>Βαθμός Προτερ</w:t>
            </w:r>
            <w:r w:rsidRPr="00383A48">
              <w:rPr>
                <w:b/>
              </w:rPr>
              <w:t>.</w:t>
            </w:r>
          </w:p>
          <w:p w:rsidR="00072D51" w:rsidRPr="00072D51" w:rsidRDefault="00072D51" w:rsidP="00832B85">
            <w:pPr>
              <w:rPr>
                <w:b/>
              </w:rPr>
            </w:pPr>
            <w:r>
              <w:rPr>
                <w:b/>
              </w:rPr>
              <w:t>ΕΞ. ΕΠΕΙΓΟΝ</w:t>
            </w:r>
          </w:p>
          <w:p w:rsidR="00A201E1" w:rsidRDefault="00A201E1" w:rsidP="00832B85">
            <w:pPr>
              <w:rPr>
                <w:b/>
              </w:rPr>
            </w:pPr>
          </w:p>
          <w:p w:rsidR="00EC2373" w:rsidRDefault="00EC2373" w:rsidP="00832B85">
            <w:pPr>
              <w:rPr>
                <w:b/>
              </w:rPr>
            </w:pPr>
          </w:p>
          <w:p w:rsidR="00EC2373" w:rsidRDefault="00EC2373" w:rsidP="00832B85">
            <w:pPr>
              <w:rPr>
                <w:b/>
              </w:rPr>
            </w:pPr>
          </w:p>
          <w:p w:rsidR="00EC2373" w:rsidRPr="00383A48" w:rsidRDefault="00EC2373" w:rsidP="00832B85">
            <w:pPr>
              <w:rPr>
                <w:b/>
              </w:rPr>
            </w:pPr>
          </w:p>
          <w:p w:rsidR="00C83B95" w:rsidRPr="00383A48" w:rsidRDefault="00C83B95" w:rsidP="00832B85">
            <w:pPr>
              <w:rPr>
                <w:b/>
              </w:rPr>
            </w:pPr>
          </w:p>
          <w:p w:rsidR="008B239D" w:rsidRPr="00EC2373" w:rsidRDefault="00E94F32" w:rsidP="00406340">
            <w:pPr>
              <w:rPr>
                <w:b/>
              </w:rPr>
            </w:pPr>
            <w:r>
              <w:rPr>
                <w:b/>
              </w:rPr>
              <w:t>Μαρούσι,</w:t>
            </w:r>
            <w:r w:rsidR="00C51852" w:rsidRPr="00D90936">
              <w:rPr>
                <w:b/>
              </w:rPr>
              <w:t xml:space="preserve"> </w:t>
            </w:r>
            <w:r w:rsidR="006E106E">
              <w:rPr>
                <w:b/>
              </w:rPr>
              <w:t xml:space="preserve"> </w:t>
            </w:r>
            <w:r w:rsidR="00C83B95" w:rsidRPr="00383A48">
              <w:rPr>
                <w:b/>
              </w:rPr>
              <w:t xml:space="preserve"> </w:t>
            </w:r>
            <w:r w:rsidR="00383A48">
              <w:rPr>
                <w:b/>
              </w:rPr>
              <w:t xml:space="preserve">  </w:t>
            </w:r>
            <w:r w:rsidR="00C80358">
              <w:rPr>
                <w:b/>
              </w:rPr>
              <w:t xml:space="preserve">          </w:t>
            </w:r>
            <w:r w:rsidR="00383A48">
              <w:rPr>
                <w:b/>
              </w:rPr>
              <w:t xml:space="preserve"> </w:t>
            </w:r>
            <w:r w:rsidR="00D42AC7">
              <w:rPr>
                <w:b/>
              </w:rPr>
              <w:t>20</w:t>
            </w:r>
            <w:r w:rsidR="001B4D95" w:rsidRPr="00383A48">
              <w:rPr>
                <w:b/>
              </w:rPr>
              <w:t>-</w:t>
            </w:r>
            <w:r w:rsidR="00C80358">
              <w:rPr>
                <w:b/>
              </w:rPr>
              <w:t>06</w:t>
            </w:r>
            <w:r w:rsidR="00C83B95" w:rsidRPr="00383A48">
              <w:rPr>
                <w:rStyle w:val="1"/>
              </w:rPr>
              <w:t>-201</w:t>
            </w:r>
            <w:r w:rsidR="00413EF9">
              <w:rPr>
                <w:rStyle w:val="1"/>
              </w:rPr>
              <w:t>3</w:t>
            </w:r>
            <w:r w:rsidR="008B239D" w:rsidRPr="00406340">
              <w:rPr>
                <w:rStyle w:val="1"/>
              </w:rPr>
              <w:t xml:space="preserve">  </w:t>
            </w:r>
          </w:p>
          <w:p w:rsidR="00A201E1" w:rsidRPr="00383A48" w:rsidRDefault="008B239D" w:rsidP="00406340">
            <w:pPr>
              <w:rPr>
                <w:b/>
              </w:rPr>
            </w:pPr>
            <w:r w:rsidRPr="00127B98">
              <w:rPr>
                <w:b/>
              </w:rPr>
              <w:t xml:space="preserve">Αρ. Πρωτ. </w:t>
            </w:r>
            <w:r w:rsidR="00EC2373">
              <w:rPr>
                <w:b/>
              </w:rPr>
              <w:t xml:space="preserve">:      </w:t>
            </w:r>
            <w:r w:rsidR="00C80358">
              <w:rPr>
                <w:b/>
              </w:rPr>
              <w:t xml:space="preserve">         </w:t>
            </w:r>
            <w:r w:rsidR="00D42AC7">
              <w:rPr>
                <w:b/>
              </w:rPr>
              <w:t>84582</w:t>
            </w:r>
            <w:r w:rsidR="0020679F">
              <w:rPr>
                <w:b/>
              </w:rPr>
              <w:t>/Δ</w:t>
            </w:r>
            <w:r w:rsidR="00413EF9">
              <w:rPr>
                <w:b/>
              </w:rPr>
              <w:t>2</w:t>
            </w:r>
            <w:r w:rsidRPr="00127B98">
              <w:rPr>
                <w:b/>
              </w:rPr>
              <w:t xml:space="preserve">     </w:t>
            </w:r>
            <w:r w:rsidR="00A201E1" w:rsidRPr="00383A48">
              <w:rPr>
                <w:b/>
              </w:rPr>
              <w:t xml:space="preserve">         </w:t>
            </w:r>
          </w:p>
          <w:p w:rsidR="008B239D" w:rsidRPr="00383A48" w:rsidRDefault="008B239D" w:rsidP="001A715A">
            <w:pPr>
              <w:rPr>
                <w:sz w:val="18"/>
                <w:szCs w:val="18"/>
              </w:rPr>
            </w:pPr>
          </w:p>
          <w:p w:rsidR="00C83B95" w:rsidRPr="00383A48" w:rsidRDefault="00C83B95" w:rsidP="001A715A">
            <w:pPr>
              <w:rPr>
                <w:sz w:val="18"/>
                <w:szCs w:val="18"/>
              </w:rPr>
            </w:pPr>
          </w:p>
        </w:tc>
      </w:tr>
      <w:tr w:rsidR="00D02BD8" w:rsidRPr="001C37EB">
        <w:trPr>
          <w:trHeight w:val="61"/>
        </w:trPr>
        <w:tc>
          <w:tcPr>
            <w:tcW w:w="2323" w:type="pct"/>
            <w:vMerge w:val="restart"/>
            <w:shd w:val="clear" w:color="auto" w:fill="auto"/>
          </w:tcPr>
          <w:p w:rsidR="00D02BD8" w:rsidRPr="00D027C7" w:rsidRDefault="00D02BD8" w:rsidP="00D02BD8">
            <w:pPr>
              <w:jc w:val="left"/>
              <w:rPr>
                <w:rFonts w:cs="Arial"/>
                <w:bCs/>
              </w:rPr>
            </w:pPr>
            <w:r w:rsidRPr="00D027C7">
              <w:rPr>
                <w:rFonts w:cs="Arial"/>
              </w:rPr>
              <w:t xml:space="preserve">Ταχ. Δ/νση: </w:t>
            </w:r>
            <w:r w:rsidRPr="00D027C7">
              <w:rPr>
                <w:rFonts w:cs="Arial"/>
              </w:rPr>
              <w:tab/>
              <w:t>Α. Παπανδρέου 37</w:t>
            </w:r>
          </w:p>
          <w:p w:rsidR="00D02BD8" w:rsidRPr="00D027C7" w:rsidRDefault="00D02BD8" w:rsidP="00D02BD8">
            <w:pPr>
              <w:jc w:val="left"/>
              <w:rPr>
                <w:rFonts w:cs="Arial"/>
                <w:bCs/>
              </w:rPr>
            </w:pPr>
            <w:r w:rsidRPr="00D027C7">
              <w:rPr>
                <w:rFonts w:cs="Arial"/>
              </w:rPr>
              <w:t xml:space="preserve">Τ.Κ. – Πόλη: </w:t>
            </w:r>
            <w:r w:rsidRPr="00D027C7">
              <w:rPr>
                <w:rFonts w:cs="Arial"/>
              </w:rPr>
              <w:tab/>
              <w:t>151 80   ΜΑΡΟΥΣΙ</w:t>
            </w:r>
          </w:p>
          <w:p w:rsidR="00D02BD8" w:rsidRPr="00D33FF6" w:rsidRDefault="00D02BD8" w:rsidP="00D02BD8">
            <w:pPr>
              <w:jc w:val="left"/>
              <w:rPr>
                <w:rFonts w:cs="Arial"/>
              </w:rPr>
            </w:pPr>
            <w:r w:rsidRPr="00D027C7">
              <w:rPr>
                <w:rFonts w:cs="Arial"/>
              </w:rPr>
              <w:t>Ιστοσελίδα:</w:t>
            </w:r>
            <w:r w:rsidRPr="00D027C7">
              <w:rPr>
                <w:rFonts w:cs="Arial"/>
              </w:rPr>
              <w:tab/>
            </w:r>
            <w:hyperlink r:id="rId8" w:history="1">
              <w:r w:rsidR="004C5831" w:rsidRPr="00D027C7">
                <w:rPr>
                  <w:rStyle w:val="Hyperlink"/>
                  <w:rFonts w:cs="Arial"/>
                  <w:lang w:val="en-US"/>
                </w:rPr>
                <w:t>www</w:t>
              </w:r>
              <w:r w:rsidR="004C5831" w:rsidRPr="00D027C7">
                <w:rPr>
                  <w:rStyle w:val="Hyperlink"/>
                  <w:rFonts w:cs="Arial"/>
                </w:rPr>
                <w:t>.</w:t>
              </w:r>
              <w:r w:rsidR="004C5831" w:rsidRPr="00D027C7">
                <w:rPr>
                  <w:rStyle w:val="Hyperlink"/>
                  <w:rFonts w:cs="Arial"/>
                  <w:lang w:val="en-US"/>
                </w:rPr>
                <w:t>minedu</w:t>
              </w:r>
              <w:r w:rsidR="004C5831" w:rsidRPr="00D027C7">
                <w:rPr>
                  <w:rStyle w:val="Hyperlink"/>
                  <w:rFonts w:cs="Arial"/>
                </w:rPr>
                <w:t>.</w:t>
              </w:r>
              <w:r w:rsidR="004C5831" w:rsidRPr="00D027C7">
                <w:rPr>
                  <w:rStyle w:val="Hyperlink"/>
                  <w:rFonts w:cs="Arial"/>
                  <w:lang w:val="en-US"/>
                </w:rPr>
                <w:t>gov</w:t>
              </w:r>
              <w:r w:rsidR="004C5831" w:rsidRPr="00D027C7">
                <w:rPr>
                  <w:rStyle w:val="Hyperlink"/>
                  <w:rFonts w:cs="Arial"/>
                </w:rPr>
                <w:t>.</w:t>
              </w:r>
              <w:r w:rsidR="004C5831" w:rsidRPr="00D027C7">
                <w:rPr>
                  <w:rStyle w:val="Hyperlink"/>
                  <w:rFonts w:cs="Arial"/>
                  <w:lang w:val="en-US"/>
                </w:rPr>
                <w:t>gr</w:t>
              </w:r>
            </w:hyperlink>
            <w:r w:rsidRPr="00D027C7">
              <w:rPr>
                <w:rFonts w:cs="Arial"/>
              </w:rPr>
              <w:t xml:space="preserve"> </w:t>
            </w:r>
          </w:p>
          <w:p w:rsidR="0020679F" w:rsidRPr="00D027C7" w:rsidRDefault="0020679F" w:rsidP="00B8430E">
            <w:pPr>
              <w:jc w:val="left"/>
              <w:rPr>
                <w:rFonts w:cs="Arial"/>
              </w:rPr>
            </w:pPr>
          </w:p>
          <w:p w:rsidR="002C0D3A" w:rsidRPr="00D027C7" w:rsidRDefault="00957299" w:rsidP="00D02BD8">
            <w:pPr>
              <w:jc w:val="left"/>
              <w:rPr>
                <w:rFonts w:cs="Arial"/>
              </w:rPr>
            </w:pPr>
            <w:r w:rsidRPr="00D027C7">
              <w:rPr>
                <w:rFonts w:cs="Arial"/>
              </w:rPr>
              <w:t>Πληροφορίες:</w:t>
            </w:r>
            <w:r w:rsidR="00D97315" w:rsidRPr="00D027C7">
              <w:rPr>
                <w:rFonts w:cs="Arial"/>
              </w:rPr>
              <w:t xml:space="preserve"> </w:t>
            </w:r>
          </w:p>
          <w:tbl>
            <w:tblPr>
              <w:tblW w:w="4034" w:type="dxa"/>
              <w:tblLook w:val="01E0" w:firstRow="1" w:lastRow="1" w:firstColumn="1" w:lastColumn="1" w:noHBand="0" w:noVBand="0"/>
            </w:tblPr>
            <w:tblGrid>
              <w:gridCol w:w="1701"/>
              <w:gridCol w:w="2333"/>
            </w:tblGrid>
            <w:tr w:rsidR="002C0D3A" w:rsidRPr="00D027C7" w:rsidTr="00D42AC7">
              <w:tc>
                <w:tcPr>
                  <w:tcW w:w="1701" w:type="dxa"/>
                  <w:shd w:val="clear" w:color="auto" w:fill="auto"/>
                </w:tcPr>
                <w:p w:rsidR="002C0D3A" w:rsidRPr="00D027C7" w:rsidRDefault="002C0D3A" w:rsidP="00D42AC7">
                  <w:pPr>
                    <w:rPr>
                      <w:rFonts w:cs="Arial"/>
                      <w:bCs/>
                    </w:rPr>
                  </w:pPr>
                  <w:r>
                    <w:rPr>
                      <w:rFonts w:cs="Arial"/>
                      <w:bCs/>
                    </w:rPr>
                    <w:t>Η. Ζούρου</w:t>
                  </w:r>
                </w:p>
              </w:tc>
              <w:tc>
                <w:tcPr>
                  <w:tcW w:w="2333" w:type="dxa"/>
                  <w:shd w:val="clear" w:color="auto" w:fill="auto"/>
                </w:tcPr>
                <w:p w:rsidR="002C0D3A" w:rsidRPr="00D027C7" w:rsidRDefault="00D42AC7" w:rsidP="00D42AC7">
                  <w:pPr>
                    <w:rPr>
                      <w:rFonts w:cs="Arial"/>
                      <w:bCs/>
                    </w:rPr>
                  </w:pPr>
                  <w:r>
                    <w:rPr>
                      <w:rFonts w:cs="Arial"/>
                      <w:bCs/>
                    </w:rPr>
                    <w:t>210</w:t>
                  </w:r>
                  <w:r w:rsidR="002C0D3A" w:rsidRPr="00D027C7">
                    <w:rPr>
                      <w:rFonts w:cs="Arial"/>
                      <w:bCs/>
                    </w:rPr>
                    <w:t xml:space="preserve"> 3442</w:t>
                  </w:r>
                  <w:r w:rsidR="002C0D3A">
                    <w:rPr>
                      <w:rFonts w:cs="Arial"/>
                      <w:bCs/>
                    </w:rPr>
                    <w:t>276</w:t>
                  </w:r>
                </w:p>
              </w:tc>
            </w:tr>
            <w:tr w:rsidR="002C0D3A" w:rsidRPr="00D027C7" w:rsidTr="00D42AC7">
              <w:tc>
                <w:tcPr>
                  <w:tcW w:w="1701" w:type="dxa"/>
                  <w:shd w:val="clear" w:color="auto" w:fill="auto"/>
                </w:tcPr>
                <w:p w:rsidR="002C0D3A" w:rsidRPr="00D027C7" w:rsidRDefault="002C0D3A" w:rsidP="00D42AC7">
                  <w:pPr>
                    <w:rPr>
                      <w:rFonts w:cs="Arial"/>
                      <w:bCs/>
                    </w:rPr>
                  </w:pPr>
                  <w:r>
                    <w:rPr>
                      <w:rFonts w:cs="Arial"/>
                      <w:bCs/>
                    </w:rPr>
                    <w:t>Β. Στράτου</w:t>
                  </w:r>
                </w:p>
              </w:tc>
              <w:tc>
                <w:tcPr>
                  <w:tcW w:w="2333" w:type="dxa"/>
                  <w:shd w:val="clear" w:color="auto" w:fill="auto"/>
                </w:tcPr>
                <w:p w:rsidR="002C0D3A" w:rsidRPr="00D027C7" w:rsidRDefault="00D42AC7" w:rsidP="00D42AC7">
                  <w:pPr>
                    <w:rPr>
                      <w:rFonts w:cs="Arial"/>
                      <w:bCs/>
                    </w:rPr>
                  </w:pPr>
                  <w:r>
                    <w:rPr>
                      <w:rFonts w:cs="Arial"/>
                      <w:bCs/>
                    </w:rPr>
                    <w:t xml:space="preserve">210 </w:t>
                  </w:r>
                  <w:r w:rsidR="002C0D3A" w:rsidRPr="00D027C7">
                    <w:rPr>
                      <w:rFonts w:cs="Arial"/>
                      <w:bCs/>
                    </w:rPr>
                    <w:t>3442</w:t>
                  </w:r>
                  <w:r w:rsidR="002C0D3A">
                    <w:rPr>
                      <w:rFonts w:cs="Arial"/>
                      <w:bCs/>
                    </w:rPr>
                    <w:t>116</w:t>
                  </w:r>
                </w:p>
              </w:tc>
            </w:tr>
          </w:tbl>
          <w:p w:rsidR="00490E16" w:rsidRPr="00D027C7" w:rsidRDefault="00490E16" w:rsidP="00D02BD8">
            <w:pPr>
              <w:jc w:val="left"/>
              <w:rPr>
                <w:rFonts w:cs="Arial"/>
              </w:rPr>
            </w:pPr>
          </w:p>
          <w:p w:rsidR="00D02BD8" w:rsidRPr="00D027C7" w:rsidRDefault="00D02BD8" w:rsidP="00D02BD8">
            <w:pPr>
              <w:jc w:val="left"/>
              <w:rPr>
                <w:bCs/>
                <w:highlight w:val="yellow"/>
              </w:rPr>
            </w:pPr>
          </w:p>
          <w:p w:rsidR="000E3DDF" w:rsidRPr="00EC2373" w:rsidRDefault="000E3DDF" w:rsidP="0020679F">
            <w:pPr>
              <w:rPr>
                <w:rFonts w:cs="Arial"/>
                <w:b/>
                <w:bCs/>
              </w:rPr>
            </w:pPr>
          </w:p>
          <w:tbl>
            <w:tblPr>
              <w:tblW w:w="4034" w:type="dxa"/>
              <w:tblLook w:val="01E0" w:firstRow="1" w:lastRow="1" w:firstColumn="1" w:lastColumn="1" w:noHBand="0" w:noVBand="0"/>
            </w:tblPr>
            <w:tblGrid>
              <w:gridCol w:w="1701"/>
              <w:gridCol w:w="2333"/>
            </w:tblGrid>
            <w:tr w:rsidR="007811CF" w:rsidRPr="00D027C7">
              <w:tc>
                <w:tcPr>
                  <w:tcW w:w="1701" w:type="dxa"/>
                  <w:shd w:val="clear" w:color="auto" w:fill="auto"/>
                </w:tcPr>
                <w:p w:rsidR="007811CF" w:rsidRPr="00D027C7" w:rsidRDefault="007811CF" w:rsidP="007811CF">
                  <w:pPr>
                    <w:rPr>
                      <w:rFonts w:cs="Arial"/>
                      <w:bCs/>
                    </w:rPr>
                  </w:pPr>
                </w:p>
              </w:tc>
              <w:tc>
                <w:tcPr>
                  <w:tcW w:w="2333" w:type="dxa"/>
                  <w:shd w:val="clear" w:color="auto" w:fill="auto"/>
                </w:tcPr>
                <w:p w:rsidR="007811CF" w:rsidRPr="00D027C7" w:rsidRDefault="007811CF" w:rsidP="007811CF">
                  <w:pPr>
                    <w:rPr>
                      <w:rFonts w:cs="Arial"/>
                      <w:bCs/>
                    </w:rPr>
                  </w:pPr>
                </w:p>
              </w:tc>
            </w:tr>
            <w:tr w:rsidR="000E3DDF" w:rsidRPr="00D027C7">
              <w:tc>
                <w:tcPr>
                  <w:tcW w:w="1701" w:type="dxa"/>
                  <w:shd w:val="clear" w:color="auto" w:fill="auto"/>
                </w:tcPr>
                <w:p w:rsidR="000E3DDF" w:rsidRPr="00D027C7" w:rsidRDefault="000E3DDF" w:rsidP="00406340">
                  <w:pPr>
                    <w:rPr>
                      <w:rFonts w:cs="Arial"/>
                      <w:bCs/>
                    </w:rPr>
                  </w:pPr>
                </w:p>
              </w:tc>
              <w:tc>
                <w:tcPr>
                  <w:tcW w:w="2333" w:type="dxa"/>
                  <w:shd w:val="clear" w:color="auto" w:fill="auto"/>
                </w:tcPr>
                <w:p w:rsidR="000E3DDF" w:rsidRPr="00D027C7" w:rsidRDefault="000E3DDF" w:rsidP="00406340">
                  <w:pPr>
                    <w:rPr>
                      <w:rFonts w:cs="Arial"/>
                      <w:bCs/>
                    </w:rPr>
                  </w:pPr>
                </w:p>
              </w:tc>
            </w:tr>
          </w:tbl>
          <w:p w:rsidR="000E3DDF" w:rsidRPr="00383A48" w:rsidRDefault="00F05B45" w:rsidP="00383A48">
            <w:pPr>
              <w:rPr>
                <w:rFonts w:cs="Arial"/>
                <w:bCs/>
              </w:rPr>
            </w:pPr>
            <w:r>
              <w:rPr>
                <w:rFonts w:cs="Arial"/>
                <w:bCs/>
              </w:rPr>
              <w:tab/>
              <w:t xml:space="preserve">                          </w:t>
            </w:r>
            <w:r w:rsidR="000E3DDF" w:rsidRPr="0065009C">
              <w:rPr>
                <w:rFonts w:cs="Arial"/>
                <w:bCs/>
              </w:rPr>
              <w:t xml:space="preserve">    </w:t>
            </w:r>
          </w:p>
        </w:tc>
        <w:tc>
          <w:tcPr>
            <w:tcW w:w="497" w:type="pct"/>
            <w:shd w:val="clear" w:color="auto" w:fill="auto"/>
            <w:vAlign w:val="center"/>
          </w:tcPr>
          <w:p w:rsidR="00D02BD8" w:rsidRDefault="00D02BD8" w:rsidP="00D02BD8">
            <w:pPr>
              <w:tabs>
                <w:tab w:val="left" w:pos="1843"/>
              </w:tabs>
              <w:rPr>
                <w:rFonts w:cs="Arial"/>
                <w:bCs/>
                <w:sz w:val="16"/>
                <w:szCs w:val="16"/>
              </w:rPr>
            </w:pPr>
          </w:p>
          <w:p w:rsidR="00EC2373" w:rsidRDefault="00EC2373" w:rsidP="00D02BD8">
            <w:pPr>
              <w:tabs>
                <w:tab w:val="left" w:pos="1843"/>
              </w:tabs>
              <w:rPr>
                <w:rFonts w:cs="Arial"/>
                <w:bCs/>
                <w:sz w:val="16"/>
                <w:szCs w:val="16"/>
              </w:rPr>
            </w:pPr>
          </w:p>
          <w:p w:rsidR="00EC2373" w:rsidRDefault="00EC2373" w:rsidP="00D02BD8">
            <w:pPr>
              <w:tabs>
                <w:tab w:val="left" w:pos="1843"/>
              </w:tabs>
              <w:rPr>
                <w:rFonts w:cs="Arial"/>
                <w:bCs/>
                <w:sz w:val="16"/>
                <w:szCs w:val="16"/>
              </w:rPr>
            </w:pPr>
          </w:p>
          <w:p w:rsidR="00EC2373" w:rsidRPr="00AA4410" w:rsidRDefault="00EC2373" w:rsidP="00D02BD8">
            <w:pPr>
              <w:tabs>
                <w:tab w:val="left" w:pos="1843"/>
              </w:tabs>
              <w:rPr>
                <w:rFonts w:cs="Arial"/>
                <w:bCs/>
                <w:sz w:val="16"/>
                <w:szCs w:val="16"/>
              </w:rPr>
            </w:pPr>
          </w:p>
        </w:tc>
        <w:tc>
          <w:tcPr>
            <w:tcW w:w="2180" w:type="pct"/>
            <w:shd w:val="clear" w:color="auto" w:fill="auto"/>
            <w:vAlign w:val="center"/>
          </w:tcPr>
          <w:p w:rsidR="00D02BD8" w:rsidRDefault="00D02BD8" w:rsidP="0034367C">
            <w:pPr>
              <w:jc w:val="left"/>
              <w:rPr>
                <w:rFonts w:cs="Arial"/>
                <w:b/>
              </w:rPr>
            </w:pPr>
          </w:p>
          <w:p w:rsidR="00EC2373" w:rsidRDefault="00EC2373" w:rsidP="0034367C">
            <w:pPr>
              <w:jc w:val="left"/>
              <w:rPr>
                <w:rFonts w:cs="Arial"/>
                <w:b/>
              </w:rPr>
            </w:pPr>
          </w:p>
          <w:p w:rsidR="00EC2373" w:rsidRPr="0034367C" w:rsidRDefault="00EC2373" w:rsidP="0034367C">
            <w:pPr>
              <w:jc w:val="left"/>
              <w:rPr>
                <w:rFonts w:cs="Arial"/>
                <w:b/>
              </w:rPr>
            </w:pPr>
          </w:p>
        </w:tc>
      </w:tr>
      <w:tr w:rsidR="00D02BD8" w:rsidRPr="001C37EB">
        <w:trPr>
          <w:trHeight w:val="900"/>
        </w:trPr>
        <w:tc>
          <w:tcPr>
            <w:tcW w:w="2323" w:type="pct"/>
            <w:vMerge/>
            <w:shd w:val="clear" w:color="auto" w:fill="auto"/>
            <w:vAlign w:val="center"/>
          </w:tcPr>
          <w:p w:rsidR="00D02BD8" w:rsidRPr="001C37EB" w:rsidRDefault="00D02BD8" w:rsidP="00D02BD8">
            <w:pPr>
              <w:rPr>
                <w:rFonts w:cs="Arial"/>
              </w:rPr>
            </w:pPr>
          </w:p>
        </w:tc>
        <w:tc>
          <w:tcPr>
            <w:tcW w:w="497" w:type="pct"/>
            <w:shd w:val="clear" w:color="auto" w:fill="auto"/>
          </w:tcPr>
          <w:p w:rsidR="00D02BD8" w:rsidRPr="001C37EB" w:rsidRDefault="00D02BD8" w:rsidP="00EC2373">
            <w:pPr>
              <w:jc w:val="right"/>
              <w:rPr>
                <w:rFonts w:cs="Arial"/>
                <w:b/>
              </w:rPr>
            </w:pPr>
            <w:r w:rsidRPr="001C37EB">
              <w:rPr>
                <w:rFonts w:cs="Arial"/>
                <w:b/>
              </w:rPr>
              <w:t>ΠΡΟΣ:</w:t>
            </w:r>
          </w:p>
          <w:p w:rsidR="001A7C95" w:rsidRPr="00132CF3" w:rsidRDefault="001B4D95" w:rsidP="00EC2373">
            <w:pPr>
              <w:jc w:val="right"/>
              <w:rPr>
                <w:rFonts w:cs="Arial"/>
                <w:b/>
              </w:rPr>
            </w:pPr>
            <w:r w:rsidRPr="00132CF3">
              <w:rPr>
                <w:rFonts w:cs="Arial"/>
                <w:b/>
              </w:rPr>
              <w:t xml:space="preserve">   </w:t>
            </w:r>
          </w:p>
          <w:p w:rsidR="00EC2373" w:rsidRDefault="00EC2373" w:rsidP="00EC2373">
            <w:pPr>
              <w:jc w:val="right"/>
              <w:rPr>
                <w:rFonts w:cs="Arial"/>
                <w:b/>
              </w:rPr>
            </w:pPr>
          </w:p>
          <w:p w:rsidR="00EC2373" w:rsidRDefault="00EC2373" w:rsidP="00EC2373">
            <w:pPr>
              <w:jc w:val="right"/>
              <w:rPr>
                <w:rFonts w:cs="Arial"/>
                <w:b/>
              </w:rPr>
            </w:pPr>
          </w:p>
          <w:p w:rsidR="00DB3D08" w:rsidRPr="001C37EB" w:rsidRDefault="00EC2373" w:rsidP="00EC2373">
            <w:pPr>
              <w:jc w:val="right"/>
              <w:rPr>
                <w:rFonts w:cs="Arial"/>
                <w:bCs/>
              </w:rPr>
            </w:pPr>
            <w:r>
              <w:rPr>
                <w:rFonts w:cs="Arial"/>
                <w:b/>
              </w:rPr>
              <w:t>ΚΟΙΝ.</w:t>
            </w:r>
            <w:r w:rsidRPr="0034367C">
              <w:rPr>
                <w:rFonts w:cs="Arial"/>
                <w:b/>
              </w:rPr>
              <w:t>:</w:t>
            </w:r>
          </w:p>
        </w:tc>
        <w:tc>
          <w:tcPr>
            <w:tcW w:w="2180" w:type="pct"/>
            <w:shd w:val="clear" w:color="auto" w:fill="auto"/>
          </w:tcPr>
          <w:p w:rsidR="00D97315" w:rsidRDefault="0034367C" w:rsidP="006E2329">
            <w:pPr>
              <w:jc w:val="left"/>
              <w:rPr>
                <w:rFonts w:cs="Arial"/>
              </w:rPr>
            </w:pPr>
            <w:r w:rsidRPr="00B92B0C">
              <w:rPr>
                <w:rFonts w:cs="Arial"/>
              </w:rPr>
              <w:t xml:space="preserve">Τις Διευθύνσεις </w:t>
            </w:r>
            <w:r w:rsidR="00D97315">
              <w:rPr>
                <w:rFonts w:cs="Arial"/>
              </w:rPr>
              <w:t>Δευτεροβάθμιας</w:t>
            </w:r>
            <w:r w:rsidR="00EC2373">
              <w:rPr>
                <w:rFonts w:cs="Arial"/>
              </w:rPr>
              <w:t xml:space="preserve"> Εκπαίδευσης </w:t>
            </w:r>
            <w:r w:rsidR="00EC2373" w:rsidRPr="00B92B0C">
              <w:rPr>
                <w:rFonts w:cs="Arial"/>
              </w:rPr>
              <w:t xml:space="preserve">              </w:t>
            </w:r>
          </w:p>
          <w:p w:rsidR="00473CDE" w:rsidRPr="00B92B0C" w:rsidRDefault="00473CDE" w:rsidP="006E2329">
            <w:pPr>
              <w:jc w:val="left"/>
              <w:rPr>
                <w:rFonts w:cs="Arial"/>
                <w:u w:val="single"/>
              </w:rPr>
            </w:pPr>
          </w:p>
          <w:p w:rsidR="00FB512B" w:rsidRPr="006033AA" w:rsidRDefault="00FB512B" w:rsidP="006E2329">
            <w:pPr>
              <w:jc w:val="left"/>
              <w:rPr>
                <w:rFonts w:cs="Arial"/>
              </w:rPr>
            </w:pPr>
          </w:p>
          <w:p w:rsidR="00EC2373" w:rsidRPr="00383A48" w:rsidRDefault="00F94722" w:rsidP="006E2329">
            <w:pPr>
              <w:jc w:val="left"/>
              <w:rPr>
                <w:rFonts w:cs="Arial"/>
              </w:rPr>
            </w:pPr>
            <w:r>
              <w:rPr>
                <w:rFonts w:cs="Arial"/>
              </w:rPr>
              <w:t>Τις Περιφερειακές Διευθύνσεις</w:t>
            </w:r>
            <w:r w:rsidR="00EC2373" w:rsidRPr="0034367C">
              <w:rPr>
                <w:rFonts w:cs="Arial"/>
              </w:rPr>
              <w:t xml:space="preserve">  Εκπαίδευσης</w:t>
            </w:r>
          </w:p>
          <w:p w:rsidR="00DB3D08" w:rsidRPr="001B4D95" w:rsidRDefault="00DB3D08" w:rsidP="006E2329">
            <w:pPr>
              <w:jc w:val="left"/>
              <w:rPr>
                <w:rFonts w:cs="Arial"/>
                <w:bCs/>
              </w:rPr>
            </w:pPr>
          </w:p>
        </w:tc>
      </w:tr>
    </w:tbl>
    <w:p w:rsidR="009001F3" w:rsidRDefault="009001F3" w:rsidP="006912A6">
      <w:pPr>
        <w:rPr>
          <w:rFonts w:cs="Verdana"/>
          <w:sz w:val="24"/>
          <w:szCs w:val="24"/>
        </w:rPr>
      </w:pPr>
    </w:p>
    <w:p w:rsidR="00084427" w:rsidRDefault="00084427" w:rsidP="00394CEF">
      <w:pPr>
        <w:rPr>
          <w:rFonts w:cs="Verdana"/>
          <w:b/>
        </w:rPr>
      </w:pPr>
    </w:p>
    <w:p w:rsidR="001A715A" w:rsidRPr="00F212EC" w:rsidRDefault="006E2329" w:rsidP="00394CEF">
      <w:pPr>
        <w:rPr>
          <w:rFonts w:cs="Verdana"/>
        </w:rPr>
      </w:pPr>
      <w:r w:rsidRPr="00F212EC">
        <w:rPr>
          <w:rFonts w:cs="Verdana"/>
          <w:b/>
        </w:rPr>
        <w:t>ΘΕΜΑ :</w:t>
      </w:r>
      <w:r w:rsidRPr="00F212EC">
        <w:rPr>
          <w:rFonts w:cs="Verdana"/>
        </w:rPr>
        <w:t xml:space="preserve"> «Διευκρινιστικές οδηγίες </w:t>
      </w:r>
      <w:r w:rsidR="00D80846" w:rsidRPr="00F212EC">
        <w:rPr>
          <w:rFonts w:cs="Verdana"/>
        </w:rPr>
        <w:t xml:space="preserve">για </w:t>
      </w:r>
      <w:r w:rsidR="00F15189" w:rsidRPr="00F212EC">
        <w:rPr>
          <w:rFonts w:cs="Verdana"/>
        </w:rPr>
        <w:t xml:space="preserve">τοποθετήσεις και ρύθμιση υπεραριθμιών  </w:t>
      </w:r>
      <w:r w:rsidR="00D80846" w:rsidRPr="00F212EC">
        <w:rPr>
          <w:rFonts w:cs="Verdana"/>
        </w:rPr>
        <w:t>εκπαιδευτικών Β/θμιας εκπαίδευσης</w:t>
      </w:r>
      <w:r w:rsidRPr="00F212EC">
        <w:rPr>
          <w:rFonts w:cs="Verdana"/>
        </w:rPr>
        <w:t>»</w:t>
      </w:r>
    </w:p>
    <w:p w:rsidR="00EC2373" w:rsidRPr="00F212EC" w:rsidRDefault="00EC2373" w:rsidP="00394CEF">
      <w:pPr>
        <w:spacing w:before="120"/>
      </w:pPr>
    </w:p>
    <w:p w:rsidR="00132CF3" w:rsidRPr="00F212EC" w:rsidRDefault="00132CF3" w:rsidP="00394CEF">
      <w:pPr>
        <w:spacing w:after="60"/>
      </w:pPr>
      <w:r w:rsidRPr="00F212EC">
        <w:t xml:space="preserve">Κατόπιν σχετικών ερωτημάτων </w:t>
      </w:r>
      <w:r w:rsidR="00D80846" w:rsidRPr="00F212EC">
        <w:t xml:space="preserve">στην υπηρεσία μας </w:t>
      </w:r>
      <w:r w:rsidRPr="00F212EC">
        <w:t xml:space="preserve">όσον αφορά </w:t>
      </w:r>
      <w:r w:rsidR="00D33FF6" w:rsidRPr="00F212EC">
        <w:t>την</w:t>
      </w:r>
      <w:r w:rsidRPr="00F212EC">
        <w:t xml:space="preserve"> </w:t>
      </w:r>
      <w:r w:rsidR="00D80846" w:rsidRPr="00F212EC">
        <w:t>ρύθμιση των υπεραριθμιών, αλλά και γενικότερων θεμάτων τοποθέτησης</w:t>
      </w:r>
      <w:r w:rsidR="00C03D91" w:rsidRPr="00F212EC">
        <w:t xml:space="preserve"> εκπαιδευτικών Δ.Ε.</w:t>
      </w:r>
      <w:r w:rsidRPr="00F212EC">
        <w:t xml:space="preserve">, σας </w:t>
      </w:r>
      <w:r w:rsidR="00F94722" w:rsidRPr="00F212EC">
        <w:t xml:space="preserve">διευκρινίζουμε </w:t>
      </w:r>
      <w:r w:rsidR="00D33FF6" w:rsidRPr="00F212EC">
        <w:t xml:space="preserve"> τα εξής</w:t>
      </w:r>
      <w:r w:rsidRPr="00F212EC">
        <w:t>:</w:t>
      </w:r>
    </w:p>
    <w:p w:rsidR="00CE5B84" w:rsidRPr="00D16128" w:rsidRDefault="00651CE1" w:rsidP="00394CEF">
      <w:pPr>
        <w:spacing w:before="100" w:beforeAutospacing="1" w:after="100" w:afterAutospacing="1"/>
        <w:rPr>
          <w:rFonts w:eastAsia="Times New Roman"/>
          <w:b/>
          <w:lang w:eastAsia="el-GR"/>
        </w:rPr>
      </w:pPr>
      <w:r w:rsidRPr="00F212EC">
        <w:rPr>
          <w:rFonts w:eastAsia="Times New Roman"/>
          <w:b/>
          <w:lang w:eastAsia="el-GR"/>
        </w:rPr>
        <w:t xml:space="preserve">Α) </w:t>
      </w:r>
      <w:r w:rsidR="00CE5B84" w:rsidRPr="00F212EC">
        <w:rPr>
          <w:rFonts w:eastAsia="Times New Roman"/>
          <w:b/>
          <w:lang w:eastAsia="el-GR"/>
        </w:rPr>
        <w:t>1</w:t>
      </w:r>
      <w:r w:rsidR="00CE5B84" w:rsidRPr="00F212EC">
        <w:rPr>
          <w:rFonts w:eastAsia="Times New Roman"/>
          <w:lang w:eastAsia="el-GR"/>
        </w:rPr>
        <w:t xml:space="preserve">. Τα ζητήματα που σχετίζονται με τις </w:t>
      </w:r>
      <w:r w:rsidR="00CE5B84" w:rsidRPr="00F212EC">
        <w:rPr>
          <w:rFonts w:eastAsia="Times New Roman"/>
          <w:b/>
          <w:bCs/>
          <w:lang w:eastAsia="el-GR"/>
        </w:rPr>
        <w:t xml:space="preserve">υπεραριθμίες </w:t>
      </w:r>
      <w:r w:rsidR="00CE5B84" w:rsidRPr="00F212EC">
        <w:rPr>
          <w:rFonts w:eastAsia="Times New Roman"/>
          <w:lang w:eastAsia="el-GR"/>
        </w:rPr>
        <w:t>των εκπαιδευτικών ρυθμίζονται από τις διατάξεις του άρθρου 14 του Π.Δ. 50/1996, όπως το άρθρο αυτό έχει τροποποιηθεί ή συμπληρωθεί μεταγενέστερα με το άρθρο 12 του Π.Δ.100/1997. Στις διατάξεις αυτές και ειδικότερα στην παρ. 1 εδάφιο β, προσδιορίζεται με σαφήνεια ότι οι υπεραριθμίες των εκπαιδευτικών Β/θμιας Εκπαίδευσης προκύπτουν μετά από μεταβολές των σχολικών μονάδων (ίδρυση, κατάργηση, υποβιβασμό, διαίρεση ή συγχώνευση σχολείων ή άλλη αιτία) στις οποίες κατέχουν οργανική θέση.</w:t>
      </w:r>
    </w:p>
    <w:p w:rsidR="00AC6077" w:rsidRPr="00F212EC" w:rsidRDefault="00CE5B84" w:rsidP="009001F3">
      <w:pPr>
        <w:pStyle w:val="BodyTextIndent"/>
        <w:tabs>
          <w:tab w:val="clear" w:pos="6521"/>
          <w:tab w:val="clear" w:pos="6804"/>
          <w:tab w:val="left" w:pos="709"/>
        </w:tabs>
        <w:ind w:firstLine="567"/>
        <w:rPr>
          <w:rFonts w:ascii="Calibri" w:hAnsi="Calibri"/>
          <w:bCs/>
          <w:sz w:val="22"/>
          <w:szCs w:val="22"/>
        </w:rPr>
      </w:pPr>
      <w:r w:rsidRPr="00F212EC">
        <w:rPr>
          <w:rFonts w:ascii="Calibri" w:hAnsi="Calibri"/>
          <w:sz w:val="22"/>
          <w:szCs w:val="22"/>
        </w:rPr>
        <w:t xml:space="preserve">Από τη διαδικασία αυτή </w:t>
      </w:r>
      <w:r w:rsidRPr="00F212EC">
        <w:rPr>
          <w:rFonts w:ascii="Calibri" w:hAnsi="Calibri"/>
          <w:b/>
          <w:bCs/>
          <w:sz w:val="22"/>
          <w:szCs w:val="22"/>
        </w:rPr>
        <w:t xml:space="preserve">εξαιρούνται </w:t>
      </w:r>
      <w:r w:rsidRPr="00F212EC">
        <w:rPr>
          <w:rFonts w:ascii="Calibri" w:hAnsi="Calibri"/>
          <w:sz w:val="22"/>
          <w:szCs w:val="22"/>
        </w:rPr>
        <w:t>όσοι υπάγονται στις διατάξεις των περ. α και γ της παρ.1 του άρθρου 13 του Π.Δ. 50/1996 όπως τροποποιήθηκε και ισχύει, δηλαδή όσοι ανήκουν σε «</w:t>
      </w:r>
      <w:r w:rsidRPr="00F212EC">
        <w:rPr>
          <w:rFonts w:ascii="Calibri" w:hAnsi="Calibri"/>
          <w:b/>
          <w:bCs/>
          <w:sz w:val="22"/>
          <w:szCs w:val="22"/>
        </w:rPr>
        <w:t>ειδική κατηγορία</w:t>
      </w:r>
      <w:r w:rsidRPr="00F212EC">
        <w:rPr>
          <w:rFonts w:ascii="Calibri" w:hAnsi="Calibri"/>
          <w:sz w:val="22"/>
          <w:szCs w:val="22"/>
        </w:rPr>
        <w:t xml:space="preserve">» μετάθεσης </w:t>
      </w:r>
      <w:r w:rsidRPr="00F212EC">
        <w:rPr>
          <w:rFonts w:ascii="Calibri" w:hAnsi="Calibri"/>
          <w:b/>
          <w:sz w:val="22"/>
          <w:szCs w:val="22"/>
          <w:u w:val="single"/>
        </w:rPr>
        <w:t>πλην των πολυτέκνων</w:t>
      </w:r>
      <w:r w:rsidRPr="00F212EC">
        <w:rPr>
          <w:rFonts w:ascii="Calibri" w:hAnsi="Calibri"/>
          <w:sz w:val="22"/>
          <w:szCs w:val="22"/>
        </w:rPr>
        <w:t>, επειδή οι εκπαιδευτικοί αυτοί, βάσει του άρθρου 30 παρ. 4 του 3848/2010 (ΦΕΚ 71/19-5-2010 τ.Α), «</w:t>
      </w:r>
      <w:r w:rsidRPr="00F212EC">
        <w:rPr>
          <w:rFonts w:ascii="Calibri" w:hAnsi="Calibri"/>
          <w:b/>
          <w:bCs/>
          <w:sz w:val="22"/>
          <w:szCs w:val="22"/>
        </w:rPr>
        <w:t xml:space="preserve">δεν εξαιρούνται </w:t>
      </w:r>
      <w:r w:rsidRPr="00F212EC">
        <w:rPr>
          <w:rFonts w:ascii="Calibri" w:hAnsi="Calibri"/>
          <w:sz w:val="22"/>
          <w:szCs w:val="22"/>
        </w:rPr>
        <w:t>από τις ρυθμίσεις του άρθρου 14 του ίδιου διατάγματος</w:t>
      </w:r>
      <w:r w:rsidR="00D27676" w:rsidRPr="00F212EC">
        <w:rPr>
          <w:rFonts w:ascii="Calibri" w:hAnsi="Calibri"/>
          <w:sz w:val="22"/>
          <w:szCs w:val="22"/>
        </w:rPr>
        <w:t>»</w:t>
      </w:r>
      <w:r w:rsidR="00861C23" w:rsidRPr="00F212EC">
        <w:rPr>
          <w:rFonts w:ascii="Calibri" w:hAnsi="Calibri"/>
          <w:sz w:val="22"/>
          <w:szCs w:val="22"/>
        </w:rPr>
        <w:t>.</w:t>
      </w:r>
      <w:r w:rsidR="00504748" w:rsidRPr="00F212EC">
        <w:rPr>
          <w:rFonts w:ascii="Calibri" w:hAnsi="Calibri"/>
          <w:bCs/>
          <w:sz w:val="22"/>
          <w:szCs w:val="22"/>
        </w:rPr>
        <w:t xml:space="preserve"> Ωστόσο, εάν επιθυμούν οι ίδιοι</w:t>
      </w:r>
      <w:r w:rsidR="00C84E04" w:rsidRPr="00F212EC">
        <w:rPr>
          <w:rFonts w:ascii="Calibri" w:hAnsi="Calibri"/>
          <w:bCs/>
          <w:sz w:val="22"/>
          <w:szCs w:val="22"/>
        </w:rPr>
        <w:t xml:space="preserve"> (οι ανήκοντες σε ειδική κατηγορία</w:t>
      </w:r>
      <w:r w:rsidR="00922268" w:rsidRPr="00922268">
        <w:rPr>
          <w:rFonts w:ascii="Calibri" w:hAnsi="Calibri"/>
          <w:bCs/>
          <w:sz w:val="22"/>
          <w:szCs w:val="22"/>
        </w:rPr>
        <w:t xml:space="preserve"> </w:t>
      </w:r>
      <w:r w:rsidR="00922268">
        <w:rPr>
          <w:rFonts w:ascii="Calibri" w:hAnsi="Calibri"/>
          <w:bCs/>
          <w:sz w:val="22"/>
          <w:szCs w:val="22"/>
        </w:rPr>
        <w:t>των περ. α και γ</w:t>
      </w:r>
      <w:r w:rsidR="00C84E04" w:rsidRPr="00F212EC">
        <w:rPr>
          <w:rFonts w:ascii="Calibri" w:hAnsi="Calibri"/>
          <w:bCs/>
          <w:sz w:val="22"/>
          <w:szCs w:val="22"/>
        </w:rPr>
        <w:t>)</w:t>
      </w:r>
      <w:r w:rsidR="00504748" w:rsidRPr="00F212EC">
        <w:rPr>
          <w:rFonts w:ascii="Calibri" w:hAnsi="Calibri"/>
          <w:bCs/>
          <w:sz w:val="22"/>
          <w:szCs w:val="22"/>
        </w:rPr>
        <w:t xml:space="preserve">, μπορούν να υποβάλουν αίτηση να κριθούν υπεράριθμοι, αλλά στην περίπτωση αυτή κρίνονται και συγκρίνονται μαζί με όλους τους εκπαιδευτικούς, οι οποίοι έχουν κριθεί υπεράριθμοι, βάσει των συνολικών μορίων που συγκεντρώνουν και δεν μπορούν να επικαλεστούν την ένταξή </w:t>
      </w:r>
      <w:r w:rsidR="00504748" w:rsidRPr="00F212EC">
        <w:rPr>
          <w:rFonts w:ascii="Calibri" w:hAnsi="Calibri"/>
          <w:bCs/>
          <w:sz w:val="22"/>
          <w:szCs w:val="22"/>
        </w:rPr>
        <w:lastRenderedPageBreak/>
        <w:t>τους σε ειδική κατηγορία ώστε να προηγηθούν των λοιπών υπεραρίθμων κατά την άρση υπεραριθμίας και την τοποθέτησή τους σε οργανική θέση.</w:t>
      </w:r>
    </w:p>
    <w:p w:rsidR="00CE5B84" w:rsidRPr="00F212EC" w:rsidRDefault="00CE5B84" w:rsidP="00394CEF">
      <w:pPr>
        <w:spacing w:before="100" w:beforeAutospacing="1" w:after="100" w:afterAutospacing="1"/>
        <w:rPr>
          <w:rFonts w:eastAsia="Times New Roman"/>
          <w:lang w:eastAsia="el-GR"/>
        </w:rPr>
      </w:pPr>
      <w:r w:rsidRPr="00F212EC">
        <w:rPr>
          <w:rFonts w:eastAsia="Times New Roman"/>
          <w:b/>
          <w:lang w:eastAsia="el-GR"/>
        </w:rPr>
        <w:t>2.</w:t>
      </w:r>
      <w:r w:rsidRPr="00F212EC">
        <w:rPr>
          <w:rFonts w:eastAsia="Times New Roman"/>
          <w:lang w:eastAsia="el-GR"/>
        </w:rPr>
        <w:t xml:space="preserve"> Όπως αναφέρεται στην παρ. 3 του άρθρου 14 του Π.Δ. 50/96 οι εκπαιδευτικοί έχουν τη δυνατότητα να επιλέξουν </w:t>
      </w:r>
      <w:r w:rsidRPr="00F212EC">
        <w:rPr>
          <w:rFonts w:eastAsia="Times New Roman"/>
          <w:b/>
          <w:bCs/>
          <w:lang w:eastAsia="el-GR"/>
        </w:rPr>
        <w:t>εάν επιθυμούν</w:t>
      </w:r>
      <w:r w:rsidRPr="00F212EC">
        <w:rPr>
          <w:rFonts w:eastAsia="Times New Roman"/>
          <w:lang w:eastAsia="el-GR"/>
        </w:rPr>
        <w:t xml:space="preserve"> να κριθούν ως υπεράριθμοι ή </w:t>
      </w:r>
      <w:r w:rsidRPr="00F212EC">
        <w:rPr>
          <w:rFonts w:eastAsia="Times New Roman"/>
          <w:b/>
          <w:bCs/>
          <w:lang w:eastAsia="el-GR"/>
        </w:rPr>
        <w:t>όχι</w:t>
      </w:r>
      <w:r w:rsidRPr="00F212EC">
        <w:rPr>
          <w:rFonts w:eastAsia="Times New Roman"/>
          <w:lang w:eastAsia="el-GR"/>
        </w:rPr>
        <w:t xml:space="preserve">. Η επιλογή τους αυτή καθορίζει και τη διαδικασία που ακολουθούν </w:t>
      </w:r>
      <w:r w:rsidR="00AC6077" w:rsidRPr="00F212EC">
        <w:rPr>
          <w:rFonts w:eastAsia="Times New Roman"/>
          <w:lang w:eastAsia="el-GR"/>
        </w:rPr>
        <w:t xml:space="preserve"> </w:t>
      </w:r>
      <w:r w:rsidRPr="00F212EC">
        <w:rPr>
          <w:rFonts w:eastAsia="Times New Roman"/>
          <w:lang w:eastAsia="el-GR"/>
        </w:rPr>
        <w:t xml:space="preserve">τα οικεία υπηρεσιακά συμβούλια στον χαρακτηρισμό </w:t>
      </w:r>
      <w:r w:rsidRPr="00F212EC">
        <w:rPr>
          <w:rFonts w:eastAsia="Times New Roman"/>
          <w:b/>
          <w:bCs/>
          <w:lang w:eastAsia="el-GR"/>
        </w:rPr>
        <w:t xml:space="preserve">ονομαστικά </w:t>
      </w:r>
      <w:r w:rsidRPr="00F212EC">
        <w:rPr>
          <w:rFonts w:eastAsia="Times New Roman"/>
          <w:lang w:eastAsia="el-GR"/>
        </w:rPr>
        <w:t>των υπεράριθμων εκπαιδευτικών, όπως ορίζεται στην παρ. 3 εδάφιο β περ.ι και ιι.</w:t>
      </w:r>
    </w:p>
    <w:p w:rsidR="00CE5B84" w:rsidRPr="00F212EC" w:rsidRDefault="00CE5B84" w:rsidP="00394CEF">
      <w:pPr>
        <w:spacing w:before="100" w:beforeAutospacing="1" w:after="100" w:afterAutospacing="1"/>
        <w:rPr>
          <w:rFonts w:eastAsia="Times New Roman"/>
          <w:lang w:eastAsia="el-GR"/>
        </w:rPr>
      </w:pPr>
      <w:r w:rsidRPr="00F212EC">
        <w:rPr>
          <w:rFonts w:eastAsia="Times New Roman"/>
          <w:lang w:eastAsia="el-GR"/>
        </w:rPr>
        <w:t>Η όλη διαδικασία που ακολουθούν τα ΠΥΣ</w:t>
      </w:r>
      <w:r w:rsidR="00C1654C" w:rsidRPr="00F212EC">
        <w:rPr>
          <w:rFonts w:eastAsia="Times New Roman"/>
          <w:lang w:eastAsia="el-GR"/>
        </w:rPr>
        <w:t>Δ</w:t>
      </w:r>
      <w:r w:rsidRPr="00F212EC">
        <w:rPr>
          <w:rFonts w:eastAsia="Times New Roman"/>
          <w:lang w:eastAsia="el-GR"/>
        </w:rPr>
        <w:t>Ε στο να χαρακτηρίσουν ονομαστικά τους υπεράριθμους εκπαιδευτικούς είναι αυτή και μόνο αυτή που αναλυτικά περιγράφεται στην παρ. 3 του άρθρ. 14 του εν λόγω Π.Δ.</w:t>
      </w:r>
    </w:p>
    <w:p w:rsidR="008F0D58" w:rsidRPr="00F212EC" w:rsidRDefault="008627B8" w:rsidP="00394CEF">
      <w:pPr>
        <w:rPr>
          <w:rFonts w:eastAsia="Times New Roman"/>
          <w:lang w:eastAsia="el-GR"/>
        </w:rPr>
      </w:pPr>
      <w:r w:rsidRPr="00F212EC">
        <w:rPr>
          <w:rFonts w:eastAsia="Times New Roman"/>
          <w:lang w:eastAsia="el-GR"/>
        </w:rPr>
        <w:t xml:space="preserve">Διευκρινίζεται ότι η </w:t>
      </w:r>
      <w:r w:rsidR="00515D07" w:rsidRPr="00F212EC">
        <w:rPr>
          <w:rFonts w:eastAsia="Times New Roman"/>
          <w:lang w:eastAsia="el-GR"/>
        </w:rPr>
        <w:t>αριθ.</w:t>
      </w:r>
      <w:r w:rsidR="00CE5B84" w:rsidRPr="00F212EC">
        <w:rPr>
          <w:rFonts w:eastAsia="Times New Roman"/>
          <w:lang w:eastAsia="el-GR"/>
        </w:rPr>
        <w:t xml:space="preserve"> 2490/27-10-2000 γνωμοδότηση του Νομικού Συμβούλου του Υπουργείου Παιδείας, που αναφέρεται στην περίπτωση της </w:t>
      </w:r>
      <w:r w:rsidR="00CE5B84" w:rsidRPr="00F212EC">
        <w:rPr>
          <w:rFonts w:eastAsia="Times New Roman"/>
          <w:b/>
          <w:bCs/>
          <w:lang w:eastAsia="el-GR"/>
        </w:rPr>
        <w:t>ταυτόχρονης τοποθέτησης (μη υπεράριθμων</w:t>
      </w:r>
      <w:r w:rsidR="00677A80" w:rsidRPr="00F212EC">
        <w:rPr>
          <w:rFonts w:eastAsia="Times New Roman"/>
          <w:b/>
          <w:bCs/>
          <w:lang w:eastAsia="el-GR"/>
        </w:rPr>
        <w:t>)</w:t>
      </w:r>
      <w:r w:rsidR="00CE5B84" w:rsidRPr="00F212EC">
        <w:rPr>
          <w:rFonts w:eastAsia="Times New Roman"/>
          <w:b/>
          <w:bCs/>
          <w:lang w:eastAsia="el-GR"/>
        </w:rPr>
        <w:t xml:space="preserve"> εκπαιδευτικών</w:t>
      </w:r>
      <w:r w:rsidR="00CE5B84" w:rsidRPr="00F212EC">
        <w:rPr>
          <w:rFonts w:eastAsia="Times New Roman"/>
          <w:lang w:eastAsia="el-GR"/>
        </w:rPr>
        <w:t xml:space="preserve"> που μετατέθηκαν ή τοποθετήθηκαν στη σχολική μονάδα το ίδιο σχολικό έτος, </w:t>
      </w:r>
      <w:r w:rsidR="00CE5B84" w:rsidRPr="00F212EC">
        <w:rPr>
          <w:rFonts w:eastAsia="Times New Roman"/>
          <w:b/>
          <w:u w:val="single"/>
          <w:lang w:eastAsia="el-GR"/>
        </w:rPr>
        <w:t>δεν ισχύει</w:t>
      </w:r>
      <w:r w:rsidR="00CE5B84" w:rsidRPr="00F212EC">
        <w:rPr>
          <w:rFonts w:eastAsia="Times New Roman"/>
          <w:lang w:eastAsia="el-GR"/>
        </w:rPr>
        <w:t xml:space="preserve"> καθώς θεωρείται καταργηθείσα, εφόσον το σκεπτικό της στηρίζεται στις διατάξεις του άρθρου 13 παρ. 5 του Ν 1566/85 οι οποίες καταργήθηκαν με τις διατάξεις του άρθρου 8 παρ. 8 του Ν. 2986/2002. </w:t>
      </w:r>
    </w:p>
    <w:p w:rsidR="00C1654C" w:rsidRDefault="00CE5B84" w:rsidP="00394CEF">
      <w:pPr>
        <w:rPr>
          <w:rFonts w:eastAsia="Times New Roman"/>
          <w:b/>
          <w:lang w:eastAsia="el-GR"/>
        </w:rPr>
      </w:pPr>
      <w:r w:rsidRPr="00F212EC">
        <w:rPr>
          <w:rFonts w:eastAsia="Times New Roman"/>
          <w:b/>
          <w:lang w:eastAsia="el-GR"/>
        </w:rPr>
        <w:t>Έτσι στην περίπτωση αυτή υπεράριθμοι χαρακτηρίζονται οι εκπαιδευτικοί που συγκεντρώνουν το μικρότερο αριθμό μονάδων μετάθεσης</w:t>
      </w:r>
      <w:r w:rsidR="002162BE" w:rsidRPr="00F212EC">
        <w:rPr>
          <w:rFonts w:eastAsia="Times New Roman"/>
          <w:b/>
          <w:lang w:eastAsia="el-GR"/>
        </w:rPr>
        <w:t xml:space="preserve"> (της τρέχουσας σχολικής χρονιάς)</w:t>
      </w:r>
      <w:r w:rsidRPr="00F212EC">
        <w:rPr>
          <w:rFonts w:eastAsia="Times New Roman"/>
          <w:b/>
          <w:lang w:eastAsia="el-GR"/>
        </w:rPr>
        <w:t>.</w:t>
      </w:r>
    </w:p>
    <w:p w:rsidR="00084427" w:rsidRPr="00F212EC" w:rsidRDefault="00084427" w:rsidP="00394CEF">
      <w:pPr>
        <w:rPr>
          <w:rFonts w:eastAsia="Times New Roman"/>
          <w:b/>
          <w:lang w:eastAsia="el-GR"/>
        </w:rPr>
      </w:pPr>
    </w:p>
    <w:p w:rsidR="007C2376" w:rsidRDefault="00CE5B84" w:rsidP="00394CEF">
      <w:pPr>
        <w:rPr>
          <w:rFonts w:eastAsia="Times New Roman"/>
          <w:lang w:eastAsia="el-GR"/>
        </w:rPr>
      </w:pPr>
      <w:r w:rsidRPr="00F212EC">
        <w:rPr>
          <w:rFonts w:eastAsia="Times New Roman"/>
          <w:b/>
          <w:lang w:eastAsia="el-GR"/>
        </w:rPr>
        <w:t>3</w:t>
      </w:r>
      <w:r w:rsidRPr="00F212EC">
        <w:rPr>
          <w:rFonts w:eastAsia="Times New Roman"/>
          <w:lang w:eastAsia="el-GR"/>
        </w:rPr>
        <w:t xml:space="preserve">. Μετά το χαρακτηρισμό ονομαστικά των υπεραρίθμων εκπαιδευτικών ακολουθεί η τοποθέτησή τους με </w:t>
      </w:r>
      <w:r w:rsidRPr="00F212EC">
        <w:rPr>
          <w:rFonts w:eastAsia="Times New Roman"/>
          <w:b/>
          <w:bCs/>
          <w:lang w:eastAsia="el-GR"/>
        </w:rPr>
        <w:t xml:space="preserve">δήλωση προτίμησης </w:t>
      </w:r>
      <w:r w:rsidRPr="00F212EC">
        <w:rPr>
          <w:rFonts w:eastAsia="Times New Roman"/>
          <w:lang w:eastAsia="el-GR"/>
        </w:rPr>
        <w:t>συγκεκριμέν</w:t>
      </w:r>
      <w:r w:rsidR="007C2376">
        <w:rPr>
          <w:rFonts w:eastAsia="Times New Roman"/>
          <w:lang w:eastAsia="el-GR"/>
        </w:rPr>
        <w:t>ης σχολικής μονάδας τοποθέτησης.</w:t>
      </w:r>
    </w:p>
    <w:p w:rsidR="00CE5B84" w:rsidRDefault="007C2376" w:rsidP="00394CEF">
      <w:pPr>
        <w:rPr>
          <w:rFonts w:eastAsia="Times New Roman"/>
          <w:lang w:eastAsia="el-GR"/>
        </w:rPr>
      </w:pPr>
      <w:r>
        <w:rPr>
          <w:rFonts w:eastAsia="Times New Roman"/>
          <w:lang w:eastAsia="el-GR"/>
        </w:rPr>
        <w:t xml:space="preserve">Η </w:t>
      </w:r>
      <w:r w:rsidR="00CE5B84" w:rsidRPr="00F212EC">
        <w:rPr>
          <w:rFonts w:eastAsia="Times New Roman"/>
          <w:lang w:eastAsia="el-GR"/>
        </w:rPr>
        <w:t xml:space="preserve"> διαδικασία </w:t>
      </w:r>
      <w:r>
        <w:rPr>
          <w:rFonts w:eastAsia="Times New Roman"/>
          <w:lang w:eastAsia="el-GR"/>
        </w:rPr>
        <w:t>έχει ως εξής</w:t>
      </w:r>
      <w:r w:rsidR="00CE5B84" w:rsidRPr="00F212EC">
        <w:rPr>
          <w:rFonts w:eastAsia="Times New Roman"/>
          <w:lang w:eastAsia="el-GR"/>
        </w:rPr>
        <w:t>:</w:t>
      </w:r>
    </w:p>
    <w:p w:rsidR="00084427" w:rsidRPr="00F212EC" w:rsidRDefault="00084427" w:rsidP="00394CEF">
      <w:pPr>
        <w:rPr>
          <w:rFonts w:eastAsia="Times New Roman"/>
          <w:lang w:eastAsia="el-GR"/>
        </w:rPr>
      </w:pPr>
    </w:p>
    <w:p w:rsidR="00CE5B84" w:rsidRPr="00F212EC" w:rsidRDefault="00CE5B84" w:rsidP="00394CEF">
      <w:pPr>
        <w:rPr>
          <w:rFonts w:eastAsia="Times New Roman"/>
          <w:lang w:eastAsia="el-GR"/>
        </w:rPr>
      </w:pPr>
      <w:r w:rsidRPr="00F212EC">
        <w:rPr>
          <w:rFonts w:eastAsia="Times New Roman"/>
          <w:lang w:eastAsia="el-GR"/>
        </w:rPr>
        <w:t xml:space="preserve">α) </w:t>
      </w:r>
      <w:r w:rsidR="00BB3C4E">
        <w:rPr>
          <w:rFonts w:eastAsia="Times New Roman"/>
          <w:lang w:eastAsia="el-GR"/>
        </w:rPr>
        <w:t>«</w:t>
      </w:r>
      <w:r w:rsidR="007C2376">
        <w:rPr>
          <w:rFonts w:eastAsia="Times New Roman"/>
          <w:lang w:eastAsia="el-GR"/>
        </w:rPr>
        <w:t>Όταν</w:t>
      </w:r>
      <w:r w:rsidRPr="00F212EC">
        <w:rPr>
          <w:rFonts w:eastAsia="Times New Roman"/>
          <w:lang w:eastAsia="el-GR"/>
        </w:rPr>
        <w:t xml:space="preserve"> η υπεραριθμία σε ένα σχολείο οφείλεται σε </w:t>
      </w:r>
      <w:r w:rsidRPr="00F212EC">
        <w:rPr>
          <w:rFonts w:eastAsia="Times New Roman"/>
          <w:b/>
          <w:bCs/>
          <w:lang w:eastAsia="el-GR"/>
        </w:rPr>
        <w:t>ίδρυση αντίστοιχου νέου σχολείου</w:t>
      </w:r>
      <w:r w:rsidRPr="00F212EC">
        <w:rPr>
          <w:rFonts w:eastAsia="Times New Roman"/>
          <w:lang w:eastAsia="el-GR"/>
        </w:rPr>
        <w:t xml:space="preserve">  στη σχολική περιφέρειά του και στο οποίο μετακινούνται μαθητές του αρχικού σχολείου, </w:t>
      </w:r>
      <w:r w:rsidR="007C2376">
        <w:rPr>
          <w:rFonts w:eastAsia="Times New Roman"/>
          <w:lang w:eastAsia="el-GR"/>
        </w:rPr>
        <w:t xml:space="preserve">οι υπεράριθμοι τοποθετούνται εφόσον </w:t>
      </w:r>
      <w:r w:rsidR="00BB3C4E">
        <w:rPr>
          <w:rFonts w:eastAsia="Times New Roman"/>
          <w:lang w:eastAsia="el-GR"/>
        </w:rPr>
        <w:t xml:space="preserve"> </w:t>
      </w:r>
      <w:r w:rsidR="007C2376">
        <w:rPr>
          <w:rFonts w:eastAsia="Times New Roman"/>
          <w:lang w:eastAsia="el-GR"/>
        </w:rPr>
        <w:t xml:space="preserve">το επιθυμούν </w:t>
      </w:r>
      <w:r w:rsidRPr="00F212EC">
        <w:rPr>
          <w:rFonts w:eastAsia="Times New Roman"/>
          <w:lang w:eastAsia="el-GR"/>
        </w:rPr>
        <w:t xml:space="preserve"> κατά </w:t>
      </w:r>
      <w:r w:rsidRPr="00F212EC">
        <w:rPr>
          <w:rFonts w:eastAsia="Times New Roman"/>
          <w:b/>
          <w:bCs/>
          <w:lang w:eastAsia="el-GR"/>
        </w:rPr>
        <w:t>απόλυτη προτεραιότητα</w:t>
      </w:r>
      <w:r w:rsidRPr="00F212EC">
        <w:rPr>
          <w:rFonts w:eastAsia="Times New Roman"/>
          <w:lang w:eastAsia="el-GR"/>
        </w:rPr>
        <w:t xml:space="preserve"> </w:t>
      </w:r>
      <w:r w:rsidR="007C2376">
        <w:rPr>
          <w:rFonts w:eastAsia="Times New Roman"/>
          <w:lang w:eastAsia="el-GR"/>
        </w:rPr>
        <w:t>στο νέο σχολείο. Η</w:t>
      </w:r>
      <w:r w:rsidRPr="00F212EC">
        <w:rPr>
          <w:rFonts w:eastAsia="Times New Roman"/>
          <w:lang w:eastAsia="el-GR"/>
        </w:rPr>
        <w:t xml:space="preserve"> τοποθέτησή τους γίνεται με βάση το σύνολο των</w:t>
      </w:r>
      <w:r w:rsidR="00BB3C4E">
        <w:rPr>
          <w:rFonts w:eastAsia="Times New Roman"/>
          <w:lang w:eastAsia="el-GR"/>
        </w:rPr>
        <w:t xml:space="preserve"> μονάδων μετάθεσης» </w:t>
      </w:r>
      <w:r w:rsidRPr="00F212EC">
        <w:rPr>
          <w:rFonts w:eastAsia="Times New Roman"/>
          <w:lang w:eastAsia="el-GR"/>
        </w:rPr>
        <w:t xml:space="preserve">(άρθρο 14 παρ. </w:t>
      </w:r>
      <w:r w:rsidR="00E873CA" w:rsidRPr="00F212EC">
        <w:rPr>
          <w:rFonts w:eastAsia="Times New Roman"/>
          <w:lang w:eastAsia="el-GR"/>
        </w:rPr>
        <w:t>6</w:t>
      </w:r>
      <w:r w:rsidRPr="00F212EC">
        <w:rPr>
          <w:rFonts w:eastAsia="Times New Roman"/>
          <w:lang w:eastAsia="el-GR"/>
        </w:rPr>
        <w:t>α του Π.Δ.50/96).</w:t>
      </w:r>
    </w:p>
    <w:p w:rsidR="001E0BA6" w:rsidRPr="00F212EC" w:rsidRDefault="001E0BA6" w:rsidP="00394CEF">
      <w:pPr>
        <w:rPr>
          <w:rFonts w:eastAsia="Times New Roman"/>
          <w:lang w:eastAsia="el-GR"/>
        </w:rPr>
      </w:pPr>
    </w:p>
    <w:p w:rsidR="001742B9" w:rsidRPr="00F212EC" w:rsidRDefault="00CE5B84" w:rsidP="00394CEF">
      <w:pPr>
        <w:rPr>
          <w:rFonts w:eastAsia="Times New Roman"/>
          <w:lang w:eastAsia="el-GR"/>
        </w:rPr>
      </w:pPr>
      <w:r w:rsidRPr="00F212EC">
        <w:rPr>
          <w:rFonts w:eastAsia="Times New Roman"/>
          <w:lang w:eastAsia="el-GR"/>
        </w:rPr>
        <w:t>β) Οι υπεράριθμοι εκπαιδευτικοί</w:t>
      </w:r>
      <w:r w:rsidRPr="00F212EC">
        <w:rPr>
          <w:rFonts w:eastAsia="Times New Roman"/>
          <w:b/>
          <w:bCs/>
          <w:lang w:eastAsia="el-GR"/>
        </w:rPr>
        <w:t xml:space="preserve"> που επιθυμούν</w:t>
      </w:r>
      <w:r w:rsidRPr="00F212EC">
        <w:rPr>
          <w:rFonts w:eastAsia="Times New Roman"/>
          <w:lang w:eastAsia="el-GR"/>
        </w:rPr>
        <w:t xml:space="preserve"> να τοποθετηθούν σε κενές οργανικές θέσεις σχολείων της </w:t>
      </w:r>
      <w:r w:rsidRPr="00F212EC">
        <w:rPr>
          <w:rFonts w:eastAsia="Times New Roman"/>
          <w:b/>
          <w:bCs/>
          <w:lang w:eastAsia="el-GR"/>
        </w:rPr>
        <w:t>ίδιας ομάδας</w:t>
      </w:r>
      <w:r w:rsidRPr="00F212EC">
        <w:rPr>
          <w:rFonts w:eastAsia="Times New Roman"/>
          <w:lang w:eastAsia="el-GR"/>
        </w:rPr>
        <w:t xml:space="preserve"> όπου ανήκει το σχολείο στο οποίο κρίθηκαν ως υπεράριθμοι, τοποθετούνται </w:t>
      </w:r>
      <w:r w:rsidRPr="00F212EC">
        <w:rPr>
          <w:rFonts w:eastAsia="Times New Roman"/>
          <w:b/>
          <w:lang w:eastAsia="el-GR"/>
        </w:rPr>
        <w:t>κατά απόλυτη προτεραιότητα,</w:t>
      </w:r>
      <w:r w:rsidRPr="00F212EC">
        <w:rPr>
          <w:rFonts w:eastAsia="Times New Roman"/>
          <w:lang w:eastAsia="el-GR"/>
        </w:rPr>
        <w:t xml:space="preserve"> </w:t>
      </w:r>
      <w:r w:rsidRPr="00F212EC">
        <w:rPr>
          <w:rFonts w:eastAsia="Times New Roman"/>
          <w:b/>
          <w:bCs/>
          <w:lang w:eastAsia="el-GR"/>
        </w:rPr>
        <w:t>συγκρινόμενοι μόνο μεταξύ τους</w:t>
      </w:r>
      <w:r w:rsidRPr="00F212EC">
        <w:rPr>
          <w:rFonts w:eastAsia="Times New Roman"/>
          <w:lang w:eastAsia="el-GR"/>
        </w:rPr>
        <w:t xml:space="preserve">, με βάση το </w:t>
      </w:r>
      <w:r w:rsidRPr="00F212EC">
        <w:rPr>
          <w:rFonts w:eastAsia="Times New Roman"/>
          <w:b/>
          <w:bCs/>
          <w:lang w:eastAsia="el-GR"/>
        </w:rPr>
        <w:t>σύνολο των μονάδων</w:t>
      </w:r>
      <w:r w:rsidRPr="00F212EC">
        <w:rPr>
          <w:rFonts w:eastAsia="Times New Roman"/>
          <w:lang w:eastAsia="el-GR"/>
        </w:rPr>
        <w:t xml:space="preserve"> μετάθεσης και τις </w:t>
      </w:r>
      <w:r w:rsidRPr="00F212EC">
        <w:rPr>
          <w:rFonts w:eastAsia="Times New Roman"/>
          <w:b/>
          <w:bCs/>
          <w:lang w:eastAsia="el-GR"/>
        </w:rPr>
        <w:t xml:space="preserve">δηλώσεις </w:t>
      </w:r>
      <w:r w:rsidRPr="00F212EC">
        <w:rPr>
          <w:rFonts w:eastAsia="Times New Roman"/>
          <w:lang w:eastAsia="el-GR"/>
        </w:rPr>
        <w:t>προτίμησής τους σε κενές οργανικές θέσεις σχολείων της ίδιας ομάδας.</w:t>
      </w:r>
    </w:p>
    <w:p w:rsidR="006D640C" w:rsidRPr="00F212EC" w:rsidRDefault="00CE5B84" w:rsidP="00394CEF">
      <w:pPr>
        <w:rPr>
          <w:rFonts w:eastAsia="Times New Roman"/>
          <w:lang w:eastAsia="el-GR"/>
        </w:rPr>
      </w:pPr>
      <w:r w:rsidRPr="00F212EC">
        <w:rPr>
          <w:rFonts w:eastAsia="Times New Roman"/>
          <w:lang w:eastAsia="el-GR"/>
        </w:rPr>
        <w:t>Αν δεν υπάρχουν κενές θέσεις στην ίδια ομάδα ή εάν οι όποιες θέσεις υπήρχαν έχουν καταληφθεί από άλλους υπεράριθμους εκπαιδευτικούς με περισσότερες μονάδες μετάθεσης</w:t>
      </w:r>
      <w:r w:rsidR="001742B9" w:rsidRPr="00F212EC">
        <w:rPr>
          <w:rFonts w:eastAsia="Times New Roman"/>
          <w:lang w:eastAsia="el-GR"/>
        </w:rPr>
        <w:t>,</w:t>
      </w:r>
      <w:r w:rsidRPr="00F212EC">
        <w:rPr>
          <w:rFonts w:eastAsia="Times New Roman"/>
          <w:lang w:eastAsia="el-GR"/>
        </w:rPr>
        <w:t xml:space="preserve"> οι </w:t>
      </w:r>
      <w:r w:rsidR="002A5A1A" w:rsidRPr="00F212EC">
        <w:rPr>
          <w:rFonts w:eastAsia="Times New Roman"/>
          <w:lang w:eastAsia="el-GR"/>
        </w:rPr>
        <w:t>εναπομείναντες</w:t>
      </w:r>
      <w:r w:rsidR="001742B9" w:rsidRPr="00F212EC">
        <w:rPr>
          <w:rFonts w:eastAsia="Times New Roman"/>
          <w:lang w:eastAsia="el-GR"/>
        </w:rPr>
        <w:t xml:space="preserve">  </w:t>
      </w:r>
      <w:r w:rsidRPr="00F212EC">
        <w:rPr>
          <w:rFonts w:eastAsia="Times New Roman"/>
          <w:lang w:eastAsia="el-GR"/>
        </w:rPr>
        <w:t xml:space="preserve">υπεράριθμοι τοποθετούνται </w:t>
      </w:r>
      <w:r w:rsidRPr="00F212EC">
        <w:rPr>
          <w:rFonts w:eastAsia="Times New Roman"/>
          <w:b/>
          <w:bCs/>
          <w:lang w:eastAsia="el-GR"/>
        </w:rPr>
        <w:t>κατά προτεραιότητα</w:t>
      </w:r>
      <w:r w:rsidRPr="00F212EC">
        <w:rPr>
          <w:rFonts w:eastAsia="Times New Roman"/>
          <w:lang w:eastAsia="el-GR"/>
        </w:rPr>
        <w:t xml:space="preserve"> σε κενές θέσεις </w:t>
      </w:r>
      <w:r w:rsidRPr="00F212EC">
        <w:rPr>
          <w:rFonts w:eastAsia="Times New Roman"/>
          <w:b/>
          <w:bCs/>
          <w:lang w:eastAsia="el-GR"/>
        </w:rPr>
        <w:t>όμορης ομάδας</w:t>
      </w:r>
      <w:r w:rsidRPr="00F212EC">
        <w:rPr>
          <w:rFonts w:eastAsia="Times New Roman"/>
          <w:lang w:eastAsia="el-GR"/>
        </w:rPr>
        <w:t xml:space="preserve"> σχολεί</w:t>
      </w:r>
      <w:r w:rsidR="001D672F" w:rsidRPr="00F212EC">
        <w:rPr>
          <w:rFonts w:eastAsia="Times New Roman"/>
          <w:lang w:eastAsia="el-GR"/>
        </w:rPr>
        <w:t xml:space="preserve">ων της ίδιας περιοχής μετάθεσης, </w:t>
      </w:r>
      <w:r w:rsidR="007B03D2" w:rsidRPr="00F212EC">
        <w:rPr>
          <w:rFonts w:eastAsia="Times New Roman"/>
          <w:lang w:eastAsia="el-GR"/>
        </w:rPr>
        <w:t>μετά</w:t>
      </w:r>
      <w:r w:rsidR="001D672F" w:rsidRPr="00F212EC">
        <w:rPr>
          <w:rFonts w:eastAsia="Times New Roman"/>
          <w:lang w:eastAsia="el-GR"/>
        </w:rPr>
        <w:t xml:space="preserve"> </w:t>
      </w:r>
      <w:r w:rsidR="007B03D2" w:rsidRPr="00F212EC">
        <w:rPr>
          <w:rFonts w:eastAsia="Times New Roman"/>
          <w:lang w:eastAsia="el-GR"/>
        </w:rPr>
        <w:t>τ</w:t>
      </w:r>
      <w:r w:rsidR="001D672F" w:rsidRPr="00F212EC">
        <w:rPr>
          <w:rFonts w:eastAsia="Times New Roman"/>
          <w:lang w:eastAsia="el-GR"/>
        </w:rPr>
        <w:t>η</w:t>
      </w:r>
      <w:r w:rsidR="007B03D2" w:rsidRPr="00F212EC">
        <w:rPr>
          <w:rFonts w:eastAsia="Times New Roman"/>
          <w:lang w:eastAsia="el-GR"/>
        </w:rPr>
        <w:t>ν</w:t>
      </w:r>
      <w:r w:rsidR="001D672F" w:rsidRPr="00F212EC">
        <w:rPr>
          <w:rFonts w:eastAsia="Times New Roman"/>
          <w:lang w:eastAsia="el-GR"/>
        </w:rPr>
        <w:t xml:space="preserve"> τοποθέτηση των υπεράριθμων εκπαιδευτικών της ίδιας ομάδας σχολείων.</w:t>
      </w:r>
    </w:p>
    <w:p w:rsidR="00CE5B84" w:rsidRPr="00F212EC" w:rsidRDefault="00B22EE3" w:rsidP="00394CEF">
      <w:pPr>
        <w:rPr>
          <w:rFonts w:eastAsia="Times New Roman"/>
          <w:lang w:eastAsia="el-GR"/>
        </w:rPr>
      </w:pPr>
      <w:r>
        <w:rPr>
          <w:rFonts w:eastAsia="Times New Roman"/>
          <w:lang w:eastAsia="el-GR"/>
        </w:rPr>
        <w:t>Γ</w:t>
      </w:r>
      <w:r w:rsidR="005A2289" w:rsidRPr="00F212EC">
        <w:rPr>
          <w:rFonts w:eastAsia="Times New Roman"/>
          <w:lang w:eastAsia="el-GR"/>
        </w:rPr>
        <w:t xml:space="preserve">ίνεται σαφές ότι οι υπεράριθμοι εκπαιδευτικοί </w:t>
      </w:r>
      <w:r w:rsidR="00FD02A4" w:rsidRPr="00F212EC">
        <w:rPr>
          <w:rFonts w:eastAsia="Times New Roman"/>
          <w:b/>
          <w:u w:val="single"/>
          <w:lang w:eastAsia="el-GR"/>
        </w:rPr>
        <w:t>δεν τοποθετούνται σε σχολείο όμορης ομάδας</w:t>
      </w:r>
      <w:r w:rsidR="00FD02A4">
        <w:rPr>
          <w:rFonts w:eastAsia="Times New Roman"/>
          <w:b/>
          <w:lang w:eastAsia="el-GR"/>
        </w:rPr>
        <w:t xml:space="preserve"> </w:t>
      </w:r>
      <w:r w:rsidR="005A2289" w:rsidRPr="00F212EC">
        <w:rPr>
          <w:rFonts w:eastAsia="Times New Roman"/>
          <w:lang w:eastAsia="el-GR"/>
        </w:rPr>
        <w:t xml:space="preserve">αν υπάρχει κενό </w:t>
      </w:r>
      <w:r w:rsidR="00FD02A4">
        <w:rPr>
          <w:rFonts w:eastAsia="Times New Roman"/>
          <w:lang w:eastAsia="el-GR"/>
        </w:rPr>
        <w:t xml:space="preserve">σε σχολεία της ίδιας ομάδας </w:t>
      </w:r>
      <w:r w:rsidR="00FD02A4" w:rsidRPr="005A2289">
        <w:rPr>
          <w:rFonts w:eastAsia="Times New Roman"/>
          <w:lang w:eastAsia="el-GR"/>
        </w:rPr>
        <w:t xml:space="preserve"> </w:t>
      </w:r>
      <w:r w:rsidR="00FD02A4" w:rsidRPr="00F212EC">
        <w:rPr>
          <w:rFonts w:eastAsia="Times New Roman"/>
          <w:lang w:eastAsia="el-GR"/>
        </w:rPr>
        <w:t>με το σχολείο όπου υπηρετούσαν</w:t>
      </w:r>
      <w:r w:rsidR="00FD02A4">
        <w:rPr>
          <w:rFonts w:eastAsia="Times New Roman"/>
          <w:lang w:eastAsia="el-GR"/>
        </w:rPr>
        <w:t xml:space="preserve"> </w:t>
      </w:r>
      <w:r w:rsidR="005A2289">
        <w:rPr>
          <w:rFonts w:eastAsia="Times New Roman"/>
          <w:lang w:eastAsia="el-GR"/>
        </w:rPr>
        <w:t>(άρθρο 12 παρ. 1 του Π.Δ. 100/97).</w:t>
      </w:r>
    </w:p>
    <w:p w:rsidR="00C1654C" w:rsidRPr="00F212EC" w:rsidRDefault="00510581" w:rsidP="00394CEF">
      <w:pPr>
        <w:spacing w:before="100" w:beforeAutospacing="1" w:after="100" w:afterAutospacing="1"/>
        <w:rPr>
          <w:rFonts w:eastAsia="Times New Roman"/>
          <w:b/>
          <w:lang w:eastAsia="el-GR"/>
        </w:rPr>
      </w:pPr>
      <w:r w:rsidRPr="00F212EC">
        <w:rPr>
          <w:rFonts w:eastAsia="Times New Roman"/>
          <w:b/>
          <w:lang w:eastAsia="el-GR"/>
        </w:rPr>
        <w:t>Σημειώνεται ότι σε</w:t>
      </w:r>
      <w:r w:rsidR="00C1654C" w:rsidRPr="00F212EC">
        <w:rPr>
          <w:rFonts w:eastAsia="Times New Roman"/>
          <w:b/>
          <w:lang w:eastAsia="el-GR"/>
        </w:rPr>
        <w:t xml:space="preserve"> περίπτωση λειτουργικής υπεραριθμίας</w:t>
      </w:r>
      <w:r w:rsidR="00A10AFA" w:rsidRPr="00F212EC">
        <w:rPr>
          <w:rFonts w:eastAsia="Times New Roman"/>
          <w:b/>
          <w:lang w:eastAsia="el-GR"/>
        </w:rPr>
        <w:t xml:space="preserve"> και μόνο</w:t>
      </w:r>
      <w:r w:rsidR="00C1654C" w:rsidRPr="00F212EC">
        <w:rPr>
          <w:rFonts w:eastAsia="Times New Roman"/>
          <w:b/>
          <w:lang w:eastAsia="el-GR"/>
        </w:rPr>
        <w:t xml:space="preserve">, οι εκπαιδευτικοί δύναται να τοποθετηθούν κατά προτεραιότητα για συμπλήρωση ωραρίου σε σχολικές μονάδες </w:t>
      </w:r>
      <w:r w:rsidR="00C1654C" w:rsidRPr="00F212EC">
        <w:rPr>
          <w:rFonts w:eastAsia="Times New Roman"/>
          <w:b/>
          <w:u w:val="single"/>
          <w:lang w:eastAsia="el-GR"/>
        </w:rPr>
        <w:t>όλων των ομάδων σχολείων</w:t>
      </w:r>
      <w:r w:rsidR="00C1654C" w:rsidRPr="00F212EC">
        <w:rPr>
          <w:rFonts w:eastAsia="Times New Roman"/>
          <w:b/>
          <w:lang w:eastAsia="el-GR"/>
        </w:rPr>
        <w:t xml:space="preserve"> συγκρινόμενοι με τους υπόλοιπους λειτουργικά υπεράριθμους εκπαιδε</w:t>
      </w:r>
      <w:r w:rsidR="00DE4B28" w:rsidRPr="00F212EC">
        <w:rPr>
          <w:rFonts w:eastAsia="Times New Roman"/>
          <w:b/>
          <w:lang w:eastAsia="el-GR"/>
        </w:rPr>
        <w:t>υτικούς βάσει μονάδων μετάθεσης</w:t>
      </w:r>
      <w:r w:rsidR="007F4E2E" w:rsidRPr="00F212EC">
        <w:rPr>
          <w:rFonts w:eastAsia="Times New Roman"/>
          <w:b/>
          <w:lang w:eastAsia="el-GR"/>
        </w:rPr>
        <w:t>,</w:t>
      </w:r>
      <w:r w:rsidR="00DE4B28" w:rsidRPr="00F212EC">
        <w:rPr>
          <w:rFonts w:eastAsia="Times New Roman"/>
          <w:b/>
          <w:lang w:eastAsia="el-GR"/>
        </w:rPr>
        <w:t xml:space="preserve"> όπως προκύπτει από το άρθρο 12 του Π.Δ. 100/97.</w:t>
      </w:r>
    </w:p>
    <w:p w:rsidR="00CE5B84" w:rsidRPr="00F212EC" w:rsidRDefault="00CE5B84" w:rsidP="00394CEF">
      <w:pPr>
        <w:spacing w:before="100" w:beforeAutospacing="1" w:after="100" w:afterAutospacing="1"/>
        <w:rPr>
          <w:rFonts w:eastAsia="Times New Roman"/>
          <w:lang w:eastAsia="el-GR"/>
        </w:rPr>
      </w:pPr>
      <w:r w:rsidRPr="00F212EC">
        <w:rPr>
          <w:rFonts w:eastAsia="Times New Roman"/>
          <w:lang w:eastAsia="el-GR"/>
        </w:rPr>
        <w:lastRenderedPageBreak/>
        <w:t xml:space="preserve">γ) Οι εκπαιδευτικοί που δεν κατέστη δυνατόν </w:t>
      </w:r>
      <w:r w:rsidR="008B4B96" w:rsidRPr="00F212EC">
        <w:rPr>
          <w:rFonts w:eastAsia="Times New Roman"/>
          <w:lang w:eastAsia="el-GR"/>
        </w:rPr>
        <w:t xml:space="preserve">ή δεν επιθυμούν </w:t>
      </w:r>
      <w:r w:rsidRPr="00F212EC">
        <w:rPr>
          <w:rFonts w:eastAsia="Times New Roman"/>
          <w:lang w:eastAsia="el-GR"/>
        </w:rPr>
        <w:t xml:space="preserve">να τοποθετηθούν σε σχολεία της </w:t>
      </w:r>
      <w:r w:rsidRPr="00F212EC">
        <w:rPr>
          <w:rFonts w:eastAsia="Times New Roman"/>
          <w:b/>
          <w:bCs/>
          <w:lang w:eastAsia="el-GR"/>
        </w:rPr>
        <w:t>ίδιας ή όμορης ομάδας</w:t>
      </w:r>
      <w:r w:rsidRPr="00F212EC">
        <w:rPr>
          <w:rFonts w:eastAsia="Times New Roman"/>
          <w:lang w:eastAsia="el-GR"/>
        </w:rPr>
        <w:t>, σύμφωνα με τις προηγούμενες α και β περιπτώσ</w:t>
      </w:r>
      <w:r w:rsidR="00107A9C" w:rsidRPr="00F212EC">
        <w:rPr>
          <w:rFonts w:eastAsia="Times New Roman"/>
          <w:lang w:eastAsia="el-GR"/>
        </w:rPr>
        <w:t>εις τοποθέτησης (άρθρο 14 παρ. 6</w:t>
      </w:r>
      <w:r w:rsidRPr="00F212EC">
        <w:rPr>
          <w:rFonts w:eastAsia="Times New Roman"/>
          <w:lang w:eastAsia="el-GR"/>
        </w:rPr>
        <w:t xml:space="preserve">, περ. α και β του Π.Δ. 50/96), τοποθετούνται σε κενές θέσεις σχολείων της </w:t>
      </w:r>
      <w:r w:rsidRPr="00F212EC">
        <w:rPr>
          <w:rFonts w:eastAsia="Times New Roman"/>
          <w:b/>
          <w:bCs/>
          <w:lang w:eastAsia="el-GR"/>
        </w:rPr>
        <w:t>ίδιας περιοχής μετάθεση</w:t>
      </w:r>
      <w:r w:rsidRPr="00F212EC">
        <w:rPr>
          <w:rFonts w:eastAsia="Times New Roman"/>
          <w:lang w:eastAsia="el-GR"/>
        </w:rPr>
        <w:t>ς κατά τη διαδικασία των διατάξεων του άρθρου 15 του ίδιου Π.Δ/τος συγκρινόμενοι με όλους τους εκπαιδευτικούς που ζητούν μετάθεση ή τοποθέτηση.</w:t>
      </w:r>
    </w:p>
    <w:p w:rsidR="009001F3" w:rsidRDefault="00813F31" w:rsidP="00897263">
      <w:pPr>
        <w:spacing w:before="100" w:beforeAutospacing="1" w:after="100" w:afterAutospacing="1"/>
        <w:rPr>
          <w:rFonts w:eastAsia="Times New Roman"/>
          <w:lang w:eastAsia="el-GR"/>
        </w:rPr>
      </w:pPr>
      <w:r w:rsidRPr="00F212EC">
        <w:rPr>
          <w:rFonts w:eastAsia="Times New Roman"/>
          <w:lang w:eastAsia="el-GR"/>
        </w:rPr>
        <w:t>δ</w:t>
      </w:r>
      <w:r w:rsidR="00CE5B84" w:rsidRPr="00F212EC">
        <w:rPr>
          <w:rFonts w:eastAsia="Times New Roman"/>
          <w:lang w:eastAsia="el-GR"/>
        </w:rPr>
        <w:t xml:space="preserve">) Οι εκπαιδευτικοί που εξακολουθούν να είναι υπεράριθμοι μετά τις παραπάνω ρυθμίσεις </w:t>
      </w:r>
      <w:r w:rsidR="00CE5B84" w:rsidRPr="00A5230E">
        <w:rPr>
          <w:rFonts w:eastAsia="Times New Roman"/>
          <w:b/>
          <w:lang w:eastAsia="el-GR"/>
        </w:rPr>
        <w:t>παραμένουν στο σχολείο όπου κρίθηκαν ως υπεράριθμοι</w:t>
      </w:r>
      <w:r w:rsidR="00CE5B84" w:rsidRPr="00F212EC">
        <w:rPr>
          <w:rFonts w:eastAsia="Times New Roman"/>
          <w:lang w:eastAsia="el-GR"/>
        </w:rPr>
        <w:t xml:space="preserve"> </w:t>
      </w:r>
      <w:r w:rsidR="00CE5B84" w:rsidRPr="00A5230E">
        <w:rPr>
          <w:rFonts w:eastAsia="Times New Roman"/>
          <w:b/>
          <w:lang w:eastAsia="el-GR"/>
        </w:rPr>
        <w:t>ή στη Δ/νση αν το σχολείο έχει καταργηθεί</w:t>
      </w:r>
      <w:r w:rsidR="00CE5B84" w:rsidRPr="00F212EC">
        <w:rPr>
          <w:rFonts w:eastAsia="Times New Roman"/>
          <w:lang w:eastAsia="el-GR"/>
        </w:rPr>
        <w:t xml:space="preserve"> και διατίθενται ή αποσπώνται σε άλλες σχολικές μονάδες για συμπλήρωση του ωραρίου τους.</w:t>
      </w:r>
    </w:p>
    <w:p w:rsidR="00897263" w:rsidRPr="00F212EC" w:rsidRDefault="00F76529" w:rsidP="00897263">
      <w:pPr>
        <w:spacing w:before="100" w:beforeAutospacing="1" w:after="100" w:afterAutospacing="1"/>
        <w:rPr>
          <w:rFonts w:eastAsia="Times New Roman"/>
          <w:lang w:eastAsia="el-GR"/>
        </w:rPr>
      </w:pPr>
      <w:r>
        <w:rPr>
          <w:rFonts w:eastAsia="Times New Roman"/>
          <w:b/>
          <w:lang w:eastAsia="el-GR"/>
        </w:rPr>
        <w:t>Β</w:t>
      </w:r>
      <w:r w:rsidR="00585633">
        <w:rPr>
          <w:rFonts w:eastAsia="Times New Roman"/>
          <w:b/>
          <w:lang w:eastAsia="el-GR"/>
        </w:rPr>
        <w:t>)</w:t>
      </w:r>
      <w:r w:rsidR="009001F3" w:rsidRPr="00F212EC">
        <w:rPr>
          <w:rFonts w:eastAsia="Times New Roman"/>
          <w:lang w:eastAsia="el-GR"/>
        </w:rPr>
        <w:t xml:space="preserve"> </w:t>
      </w:r>
      <w:r w:rsidR="00E07EF6">
        <w:t>Γ</w:t>
      </w:r>
      <w:r w:rsidR="00897263" w:rsidRPr="00F212EC">
        <w:t xml:space="preserve">ια την κρίση υπεραριθμίας στα σχολεία </w:t>
      </w:r>
      <w:r w:rsidR="00571DA5" w:rsidRPr="00F212EC">
        <w:t xml:space="preserve">Μουσικής, Καλλιτεχνικής και </w:t>
      </w:r>
      <w:r w:rsidR="00897263" w:rsidRPr="00F212EC">
        <w:t>Διαπολιτισμικής Εκπαίδευσης</w:t>
      </w:r>
      <w:r w:rsidR="0023165C">
        <w:t>,</w:t>
      </w:r>
      <w:r w:rsidR="00897263" w:rsidRPr="00F212EC">
        <w:t xml:space="preserve"> </w:t>
      </w:r>
      <w:r w:rsidR="00E07EF6">
        <w:t xml:space="preserve">αρμόδιο όργανο </w:t>
      </w:r>
      <w:r w:rsidR="00897263" w:rsidRPr="00F212EC">
        <w:t>είναι το Κεντρικό Υπηρεσιακό Συμβούλιο Δευτεροβάθμιας Εκπαίδευσης (Κ.Υ.Σ.Δ.Ε), το οποίο θα αποφασίσει σύμφωνα με τις ισχύουσες νομοθε</w:t>
      </w:r>
      <w:r w:rsidR="003F2443" w:rsidRPr="00F212EC">
        <w:t>τικές διατάξεις</w:t>
      </w:r>
      <w:r w:rsidR="00897263" w:rsidRPr="00F212EC">
        <w:t>, ποιος εκπαιδευτικός θα χαρακτηριστεί υπεράριθμος.</w:t>
      </w:r>
    </w:p>
    <w:p w:rsidR="009001F3" w:rsidRDefault="00897263" w:rsidP="00897263">
      <w:pPr>
        <w:pStyle w:val="BodyTextIndent"/>
        <w:tabs>
          <w:tab w:val="clear" w:pos="6521"/>
          <w:tab w:val="clear" w:pos="6804"/>
          <w:tab w:val="left" w:pos="-1276"/>
        </w:tabs>
        <w:ind w:firstLine="0"/>
        <w:rPr>
          <w:rFonts w:ascii="Calibri" w:hAnsi="Calibri"/>
          <w:i/>
          <w:sz w:val="22"/>
          <w:szCs w:val="22"/>
        </w:rPr>
      </w:pPr>
      <w:r w:rsidRPr="00F212EC">
        <w:rPr>
          <w:rFonts w:ascii="Calibri" w:hAnsi="Calibri"/>
          <w:bCs/>
          <w:sz w:val="22"/>
          <w:szCs w:val="22"/>
        </w:rPr>
        <w:t>Σύμφωνα με τη περ. 12 της παρ.2 του άρθρου 12 του Π.Δ 100/97 «</w:t>
      </w:r>
      <w:r w:rsidRPr="00F212EC">
        <w:rPr>
          <w:rFonts w:ascii="Calibri" w:hAnsi="Calibri"/>
          <w:i/>
          <w:sz w:val="22"/>
          <w:szCs w:val="22"/>
        </w:rPr>
        <w:t>οι εκπαιδευτικοί</w:t>
      </w:r>
      <w:r w:rsidR="003F2443" w:rsidRPr="00F212EC">
        <w:rPr>
          <w:rFonts w:ascii="Calibri" w:hAnsi="Calibri"/>
          <w:i/>
          <w:sz w:val="22"/>
          <w:szCs w:val="22"/>
        </w:rPr>
        <w:t>….</w:t>
      </w:r>
      <w:r w:rsidRPr="00F212EC">
        <w:rPr>
          <w:rFonts w:ascii="Calibri" w:hAnsi="Calibri"/>
          <w:i/>
          <w:sz w:val="22"/>
          <w:szCs w:val="22"/>
        </w:rPr>
        <w:t xml:space="preserve"> των μουσικών σχολείων καθώς και των σχολείων</w:t>
      </w:r>
      <w:r w:rsidR="00F055E8" w:rsidRPr="00F212EC">
        <w:rPr>
          <w:rFonts w:ascii="Calibri" w:hAnsi="Calibri"/>
          <w:i/>
          <w:sz w:val="22"/>
          <w:szCs w:val="22"/>
        </w:rPr>
        <w:t xml:space="preserve"> </w:t>
      </w:r>
      <w:r w:rsidRPr="00F212EC">
        <w:rPr>
          <w:rFonts w:ascii="Calibri" w:hAnsi="Calibri"/>
          <w:i/>
          <w:sz w:val="22"/>
          <w:szCs w:val="22"/>
        </w:rPr>
        <w:t xml:space="preserve">των Αποδήμων Ελληνοπαίδων και των Σ.Μ.Ε.Α. Β/θμιας Εκπ/σης </w:t>
      </w:r>
      <w:r w:rsidRPr="00F212EC">
        <w:rPr>
          <w:rFonts w:ascii="Calibri" w:hAnsi="Calibri"/>
          <w:i/>
          <w:sz w:val="22"/>
          <w:szCs w:val="22"/>
          <w:u w:val="single"/>
        </w:rPr>
        <w:t>χαρακτηρίζονται ως υπεράριθμοι από τα αρμόδια κεντρικά υπηρεσιακά συμβούλια</w:t>
      </w:r>
      <w:r w:rsidRPr="00F212EC">
        <w:rPr>
          <w:rFonts w:ascii="Calibri" w:hAnsi="Calibri"/>
          <w:i/>
          <w:sz w:val="22"/>
          <w:szCs w:val="22"/>
        </w:rPr>
        <w:t xml:space="preserve"> (</w:t>
      </w:r>
      <w:r w:rsidRPr="00F212EC">
        <w:rPr>
          <w:rFonts w:ascii="Calibri" w:hAnsi="Calibri"/>
          <w:b/>
          <w:i/>
          <w:sz w:val="22"/>
          <w:szCs w:val="22"/>
        </w:rPr>
        <w:t>Κ.Υ.Σ.Δ.Ε</w:t>
      </w:r>
      <w:r w:rsidRPr="00F212EC">
        <w:rPr>
          <w:rFonts w:ascii="Calibri" w:hAnsi="Calibri"/>
          <w:i/>
          <w:sz w:val="22"/>
          <w:szCs w:val="22"/>
        </w:rPr>
        <w:t>) σύμφωνα με τη διαδικασία της περ. β΄ της παρ. 3 του άρθρου αυτού. Οι χαρακτηριζόμενοι ως υπεράριθμοι εφόσον δεν είναι δυνατή η μετάθεσή τους σε ίδιο σχολείο της ίδιας περιοχής μετάθεσης μετατίθενται χωρίς αίτησή τους υποχρεωτικά στην ίδια περιοχή μετάθεσης της έδρας του σχολείου στο οποίο κρίθηκαν υπεράριθμοι και τίθενται στη διάθεση των οικείων περιφερειακών υπηρεσιακών συμβουλίων. Οι εκπαιδευτικοί αυτοί μετατίθενται σε σχολεία της ίδιας περιοχής σύμφωνα με τις διατάξεις του άρθρου 15 του παρόντος Π.Δ. Επίσης οι εκπαιδευτικοί αυτοί μπορούν να υποβάλλουν αίτηση στο Κεντρικό Υπηρεσιακό Συμβούλιο για μετάθεση σε ίδιο ή άλλο σχολείο, Πειραματικό, Μουσικό, Σ.Μ.Ε.Α. ή Σχολείο Αποδήμων Ελληνοπαίδων, κατά περίπτωση της ίδιας ή άλλης περιοχής μετάθεσης. Οι αιτήσεις τους κρίνονται κατά</w:t>
      </w:r>
      <w:r w:rsidRPr="00F212EC">
        <w:rPr>
          <w:rFonts w:ascii="Calibri" w:hAnsi="Calibri"/>
          <w:b/>
          <w:bCs/>
          <w:sz w:val="22"/>
          <w:szCs w:val="22"/>
        </w:rPr>
        <w:t xml:space="preserve"> </w:t>
      </w:r>
      <w:r w:rsidRPr="00F212EC">
        <w:rPr>
          <w:rFonts w:ascii="Calibri" w:hAnsi="Calibri"/>
          <w:i/>
          <w:sz w:val="22"/>
          <w:szCs w:val="22"/>
        </w:rPr>
        <w:t>προτεραιότητα πριν από τη διαδικασία των μεταθέσεων στα σχολεία αυτά.»</w:t>
      </w:r>
    </w:p>
    <w:p w:rsidR="00AC46BD" w:rsidRDefault="009001F3" w:rsidP="009001F3">
      <w:pPr>
        <w:rPr>
          <w:rFonts w:eastAsia="Times New Roman"/>
          <w:b/>
          <w:lang w:eastAsia="el-GR"/>
        </w:rPr>
      </w:pPr>
      <w:r w:rsidRPr="00F212EC">
        <w:rPr>
          <w:rFonts w:eastAsia="Times New Roman"/>
          <w:b/>
          <w:lang w:eastAsia="el-GR"/>
        </w:rPr>
        <w:t>ΣΗΜΕΙΩΣΗ:</w:t>
      </w:r>
    </w:p>
    <w:p w:rsidR="009001F3" w:rsidRPr="00AC46BD" w:rsidRDefault="009001F3" w:rsidP="009001F3">
      <w:pPr>
        <w:rPr>
          <w:rFonts w:eastAsia="Times New Roman"/>
          <w:b/>
          <w:lang w:eastAsia="el-GR"/>
        </w:rPr>
      </w:pPr>
      <w:r w:rsidRPr="00F212EC">
        <w:rPr>
          <w:rFonts w:eastAsia="Times New Roman"/>
          <w:lang w:eastAsia="el-GR"/>
        </w:rPr>
        <w:t>Η περ. 12 της παρ. 2 του άρθρου 12 του Π.Δ. 100/97 ισχύει και για την κρίση υπεραριθμίας των εκπαιδευτικών που ανήκουν σε Καλλιτεχνικό σχολείο.</w:t>
      </w:r>
    </w:p>
    <w:p w:rsidR="00F76529" w:rsidRDefault="00F76529" w:rsidP="00084427">
      <w:pPr>
        <w:pStyle w:val="ListParagraph"/>
        <w:spacing w:after="100" w:afterAutospacing="1"/>
        <w:ind w:left="0"/>
        <w:jc w:val="both"/>
        <w:rPr>
          <w:rFonts w:ascii="Calibri" w:hAnsi="Calibri"/>
          <w:b/>
          <w:bCs/>
          <w:sz w:val="22"/>
          <w:szCs w:val="22"/>
        </w:rPr>
      </w:pPr>
    </w:p>
    <w:p w:rsidR="000E4543" w:rsidRPr="000E4543" w:rsidRDefault="00604190" w:rsidP="00084427">
      <w:pPr>
        <w:pStyle w:val="ListParagraph"/>
        <w:spacing w:after="100" w:afterAutospacing="1"/>
        <w:ind w:left="0"/>
        <w:jc w:val="both"/>
        <w:rPr>
          <w:rFonts w:ascii="Calibri" w:hAnsi="Calibri"/>
          <w:bCs/>
          <w:sz w:val="22"/>
          <w:szCs w:val="22"/>
        </w:rPr>
      </w:pPr>
      <w:r w:rsidRPr="00604190">
        <w:rPr>
          <w:rFonts w:ascii="Calibri" w:eastAsia="Calibri" w:hAnsi="Calibri"/>
          <w:noProof/>
          <w:sz w:val="22"/>
          <w:szCs w:val="22"/>
          <w:lang w:eastAsia="en-US"/>
        </w:rPr>
        <w:lastRenderedPageBreak/>
        <w:pict>
          <v:shapetype id="_x0000_t202" coordsize="21600,21600" o:spt="202" path="m,l,21600r21600,l21600,xe">
            <v:stroke joinstyle="miter"/>
            <v:path gradientshapeok="t" o:connecttype="rect"/>
          </v:shapetype>
          <v:shape id="_x0000_s1027" type="#_x0000_t202" style="position:absolute;left:0;text-align:left;margin-left:5.25pt;margin-top:11.6pt;width:456.5pt;height:396pt;z-index:251657728;mso-wrap-style:none" strokecolor="#666" strokeweight="3pt">
            <v:fill color2="#999" focusposition="1" focussize="" focus="100%" type="gradient"/>
            <v:shadow on="t" type="perspective" color="#7f7f7f" opacity=".5" offset="1pt" offset2="-3pt"/>
            <v:textbox style="mso-next-textbox:#_x0000_s1027">
              <w:txbxContent>
                <w:p w:rsidR="00084427" w:rsidRPr="003B6BE0" w:rsidRDefault="00084427" w:rsidP="00394CEF">
                  <w:pPr>
                    <w:spacing w:before="100" w:beforeAutospacing="1" w:after="100" w:afterAutospacing="1"/>
                    <w:rPr>
                      <w:rFonts w:eastAsia="Times New Roman"/>
                      <w:lang w:eastAsia="el-GR"/>
                    </w:rPr>
                  </w:pPr>
                  <w:bookmarkStart w:id="0" w:name="_GoBack"/>
                  <w:r w:rsidRPr="003B6BE0">
                    <w:rPr>
                      <w:rFonts w:eastAsia="Times New Roman"/>
                      <w:b/>
                      <w:bCs/>
                      <w:lang w:eastAsia="el-GR"/>
                    </w:rPr>
                    <w:t xml:space="preserve">ΕΠΙΣΗΜΑΙΝΟΥΜΕ </w:t>
                  </w:r>
                  <w:r w:rsidRPr="003B6BE0">
                    <w:rPr>
                      <w:rFonts w:eastAsia="Times New Roman"/>
                      <w:lang w:eastAsia="el-GR"/>
                    </w:rPr>
                    <w:t>ότι:</w:t>
                  </w:r>
                </w:p>
                <w:p w:rsidR="00084427" w:rsidRPr="003B6BE0" w:rsidRDefault="00084427" w:rsidP="00394CEF">
                  <w:pPr>
                    <w:pStyle w:val="ListParagraph"/>
                    <w:numPr>
                      <w:ilvl w:val="0"/>
                      <w:numId w:val="27"/>
                    </w:numPr>
                    <w:spacing w:before="100" w:beforeAutospacing="1" w:after="100" w:afterAutospacing="1"/>
                    <w:ind w:left="0" w:firstLine="0"/>
                    <w:jc w:val="both"/>
                    <w:rPr>
                      <w:rFonts w:ascii="Calibri" w:hAnsi="Calibri"/>
                      <w:sz w:val="22"/>
                      <w:szCs w:val="22"/>
                    </w:rPr>
                  </w:pPr>
                  <w:r w:rsidRPr="003B6BE0">
                    <w:rPr>
                      <w:rFonts w:ascii="Calibri" w:hAnsi="Calibri"/>
                      <w:b/>
                      <w:bCs/>
                      <w:sz w:val="22"/>
                      <w:szCs w:val="22"/>
                    </w:rPr>
                    <w:t xml:space="preserve">Όσοι εκπαιδευτικοί έχουν θεμελιώσει δικαίωμα μετάθεσης </w:t>
                  </w:r>
                  <w:r w:rsidRPr="003B6BE0">
                    <w:rPr>
                      <w:rFonts w:ascii="Calibri" w:hAnsi="Calibri"/>
                      <w:sz w:val="22"/>
                      <w:szCs w:val="22"/>
                    </w:rPr>
                    <w:t>πριν το χαρακτηρισμό τους ως υπεράριθμοι, διατηρούν το δικαίωμα αυτό και μετά την τοποθέτησή τους με τις ανωτέρω διαδικασίες και επομένως δεν απαιτείται υπηρέτηση της οποιαδήποτε νέας οργανικής τους θέσης, καθώς η μεταβολή της υπηρεσιακής τους κατάστασης οφείλεται στις ανάγκες της υπηρεσίας. Το αυτό ισχύει και για τους αναφερόμενους εκπαιδευτικούς της προηγούμενης παραγράφου 3 δ που διατίθενται ή αποσπώνται σε άλλες σχολικές μονάδες κατά τις κείμενες διατάξεις.</w:t>
                  </w:r>
                </w:p>
                <w:p w:rsidR="00084427" w:rsidRPr="003B6BE0" w:rsidRDefault="00084427" w:rsidP="00394CEF">
                  <w:pPr>
                    <w:pStyle w:val="ListParagraph"/>
                    <w:spacing w:before="100" w:beforeAutospacing="1" w:after="100" w:afterAutospacing="1"/>
                    <w:ind w:left="0"/>
                    <w:jc w:val="both"/>
                    <w:rPr>
                      <w:rFonts w:ascii="Calibri" w:hAnsi="Calibri"/>
                      <w:sz w:val="22"/>
                      <w:szCs w:val="22"/>
                    </w:rPr>
                  </w:pPr>
                  <w:r w:rsidRPr="003B6BE0">
                    <w:rPr>
                      <w:rFonts w:ascii="Calibri" w:hAnsi="Calibri"/>
                      <w:sz w:val="22"/>
                      <w:szCs w:val="22"/>
                    </w:rPr>
                    <w:t>Στην ερμηνεία αυτή εξάλλου οδηγεί και η διατύπωση της παρ. 7 του άρθρου 14 του Π.Δ. 50/96 που ρητά αναφέρει ότι «ο χρόνος υπηρεσίας στην προηγούμενή τους θέση των εκπαιδευτικών της Α/θμιας και Β/θμιας Εκπαίδευσης που μετατίθενται, διατίθενται ή αποσπώνται λόγω υπεραριθμίας υπολογίζεται για τη συμπλήρωση της υπηρεσίας που απαιτείται από το άρθρο 8 αυτού του Π.Δ.».</w:t>
                  </w:r>
                </w:p>
                <w:p w:rsidR="00084427" w:rsidRPr="003B6BE0" w:rsidRDefault="00084427" w:rsidP="00E07EF6">
                  <w:pPr>
                    <w:pStyle w:val="ListParagraph"/>
                    <w:spacing w:before="100" w:beforeAutospacing="1" w:after="100" w:afterAutospacing="1"/>
                    <w:ind w:left="0"/>
                    <w:jc w:val="both"/>
                    <w:rPr>
                      <w:rFonts w:ascii="Calibri" w:hAnsi="Calibri"/>
                      <w:b/>
                      <w:bCs/>
                      <w:sz w:val="22"/>
                      <w:szCs w:val="22"/>
                    </w:rPr>
                  </w:pPr>
                </w:p>
                <w:p w:rsidR="00084427" w:rsidRPr="003B6BE0" w:rsidRDefault="00084427" w:rsidP="00394CEF">
                  <w:pPr>
                    <w:pStyle w:val="ListParagraph"/>
                    <w:numPr>
                      <w:ilvl w:val="0"/>
                      <w:numId w:val="26"/>
                    </w:numPr>
                    <w:spacing w:after="80"/>
                    <w:ind w:left="0" w:firstLine="0"/>
                    <w:jc w:val="both"/>
                    <w:rPr>
                      <w:rFonts w:ascii="Calibri" w:hAnsi="Calibri"/>
                      <w:b/>
                      <w:bCs/>
                      <w:sz w:val="22"/>
                      <w:szCs w:val="22"/>
                    </w:rPr>
                  </w:pPr>
                  <w:r w:rsidRPr="003B6BE0">
                    <w:rPr>
                      <w:rFonts w:ascii="Calibri" w:hAnsi="Calibri"/>
                      <w:sz w:val="22"/>
                      <w:szCs w:val="22"/>
                    </w:rPr>
                    <w:t xml:space="preserve">Σε περίπτωση συγχώνευσης δύο σχολικών μονάδων για τη διαπίστωση της τυχόν υπεραριθμίας  </w:t>
                  </w:r>
                  <w:r w:rsidRPr="003B6BE0">
                    <w:rPr>
                      <w:rFonts w:ascii="Calibri" w:hAnsi="Calibri"/>
                      <w:b/>
                      <w:sz w:val="22"/>
                      <w:szCs w:val="22"/>
                      <w:u w:val="single"/>
                    </w:rPr>
                    <w:t>κρίνονται όλοι</w:t>
                  </w:r>
                  <w:r w:rsidRPr="003B6BE0">
                    <w:rPr>
                      <w:rFonts w:ascii="Calibri" w:hAnsi="Calibri"/>
                      <w:sz w:val="22"/>
                      <w:szCs w:val="22"/>
                    </w:rPr>
                    <w:t xml:space="preserve"> οι εκπαιδευτικοί των σχολείων που συγχωνεύονται. Δε λαμβάνεται υπόψη ποιας σχολικής μονάδας το όνομα διατηρήθηκε μετά τη συγχώνευση ή αν δόθηκε νέο. </w:t>
                  </w:r>
                  <w:r w:rsidRPr="003B6BE0">
                    <w:rPr>
                      <w:rFonts w:ascii="Calibri" w:hAnsi="Calibri"/>
                      <w:b/>
                      <w:sz w:val="22"/>
                      <w:szCs w:val="22"/>
                    </w:rPr>
                    <w:t xml:space="preserve">Για τον καθορισμό του έτους τοποθέτησης λαμβάνεται υπόψη το έτος που οι εκπαιδευτικοί τοποθετήθηκαν </w:t>
                  </w:r>
                  <w:r w:rsidRPr="003B6BE0">
                    <w:rPr>
                      <w:rFonts w:ascii="Calibri" w:hAnsi="Calibri"/>
                      <w:b/>
                      <w:sz w:val="22"/>
                      <w:szCs w:val="22"/>
                      <w:u w:val="single"/>
                    </w:rPr>
                    <w:t>στο κάθε σχολείο πριν</w:t>
                  </w:r>
                  <w:r w:rsidRPr="003B6BE0">
                    <w:rPr>
                      <w:rFonts w:ascii="Calibri" w:hAnsi="Calibri"/>
                      <w:b/>
                      <w:sz w:val="22"/>
                      <w:szCs w:val="22"/>
                    </w:rPr>
                    <w:t xml:space="preserve"> τη συγχώνευση.</w:t>
                  </w:r>
                </w:p>
                <w:p w:rsidR="00084427" w:rsidRPr="003B6BE0" w:rsidRDefault="00084427" w:rsidP="00394CEF">
                  <w:pPr>
                    <w:pStyle w:val="ListParagraph"/>
                    <w:spacing w:after="80"/>
                    <w:ind w:left="0"/>
                    <w:jc w:val="both"/>
                    <w:rPr>
                      <w:rFonts w:ascii="Calibri" w:hAnsi="Calibri"/>
                      <w:b/>
                      <w:bCs/>
                      <w:sz w:val="22"/>
                      <w:szCs w:val="22"/>
                    </w:rPr>
                  </w:pPr>
                </w:p>
                <w:p w:rsidR="00084427" w:rsidRPr="003B6BE0" w:rsidRDefault="00084427" w:rsidP="00BE1176">
                  <w:pPr>
                    <w:pStyle w:val="BodyTextIndent"/>
                    <w:numPr>
                      <w:ilvl w:val="0"/>
                      <w:numId w:val="26"/>
                    </w:numPr>
                    <w:tabs>
                      <w:tab w:val="clear" w:pos="6521"/>
                      <w:tab w:val="clear" w:pos="6804"/>
                      <w:tab w:val="left" w:pos="-1276"/>
                    </w:tabs>
                    <w:ind w:left="0" w:firstLine="0"/>
                    <w:rPr>
                      <w:rFonts w:ascii="Calibri" w:hAnsi="Calibri"/>
                      <w:b/>
                      <w:bCs/>
                      <w:sz w:val="22"/>
                      <w:szCs w:val="22"/>
                    </w:rPr>
                  </w:pPr>
                  <w:r w:rsidRPr="003B6BE0">
                    <w:rPr>
                      <w:rFonts w:ascii="Calibri" w:hAnsi="Calibri"/>
                      <w:b/>
                      <w:bCs/>
                      <w:sz w:val="22"/>
                      <w:szCs w:val="22"/>
                    </w:rPr>
                    <w:t xml:space="preserve">Οι υπεράριθμοι εκπαιδευτικοί των </w:t>
                  </w:r>
                  <w:r w:rsidRPr="003B6BE0">
                    <w:rPr>
                      <w:rFonts w:ascii="Calibri" w:hAnsi="Calibri"/>
                      <w:b/>
                      <w:bCs/>
                      <w:sz w:val="22"/>
                      <w:szCs w:val="22"/>
                      <w:u w:val="single"/>
                    </w:rPr>
                    <w:t>κατηργημένων σχολείων</w:t>
                  </w:r>
                  <w:r w:rsidRPr="003B6BE0">
                    <w:rPr>
                      <w:rFonts w:ascii="Calibri" w:hAnsi="Calibri"/>
                      <w:b/>
                      <w:bCs/>
                      <w:sz w:val="22"/>
                      <w:szCs w:val="22"/>
                    </w:rPr>
                    <w:t xml:space="preserve"> που </w:t>
                  </w:r>
                  <w:r w:rsidRPr="003B6BE0">
                    <w:rPr>
                      <w:rFonts w:ascii="Calibri" w:hAnsi="Calibri"/>
                      <w:b/>
                      <w:bCs/>
                      <w:sz w:val="22"/>
                      <w:szCs w:val="22"/>
                      <w:u w:val="single"/>
                    </w:rPr>
                    <w:t>δεν κατέστη δυνατό</w:t>
                  </w:r>
                  <w:r w:rsidRPr="003B6BE0">
                    <w:rPr>
                      <w:rFonts w:ascii="Calibri" w:hAnsi="Calibri"/>
                      <w:b/>
                      <w:bCs/>
                      <w:sz w:val="22"/>
                      <w:szCs w:val="22"/>
                    </w:rPr>
                    <w:t xml:space="preserve"> να τοποθετηθούν σε σχολική μονάδα </w:t>
                  </w:r>
                  <w:r w:rsidRPr="003B6BE0">
                    <w:rPr>
                      <w:rFonts w:ascii="Calibri" w:hAnsi="Calibri"/>
                      <w:b/>
                      <w:sz w:val="22"/>
                      <w:szCs w:val="22"/>
                    </w:rPr>
                    <w:t xml:space="preserve">μετά τις παραπάνω ρυθμίσεις </w:t>
                  </w:r>
                  <w:r w:rsidRPr="003B6BE0">
                    <w:rPr>
                      <w:rFonts w:ascii="Calibri" w:hAnsi="Calibri"/>
                      <w:b/>
                      <w:bCs/>
                      <w:sz w:val="22"/>
                      <w:szCs w:val="22"/>
                    </w:rPr>
                    <w:t xml:space="preserve">λόγω μη ύπαρξης οργανικού κενού </w:t>
                  </w:r>
                  <w:r w:rsidRPr="003B6BE0">
                    <w:rPr>
                      <w:rFonts w:ascii="Calibri" w:hAnsi="Calibri"/>
                      <w:b/>
                      <w:bCs/>
                      <w:sz w:val="22"/>
                      <w:szCs w:val="22"/>
                      <w:u w:val="single"/>
                    </w:rPr>
                    <w:t>παραμένουν ως υπεράριθμοι</w:t>
                  </w:r>
                  <w:r w:rsidRPr="003B6BE0">
                    <w:rPr>
                      <w:rFonts w:ascii="Calibri" w:hAnsi="Calibri"/>
                      <w:b/>
                      <w:bCs/>
                      <w:sz w:val="22"/>
                      <w:szCs w:val="22"/>
                    </w:rPr>
                    <w:t xml:space="preserve">  και τα επόμενα σχολικά  έτη  </w:t>
                  </w:r>
                  <w:r w:rsidRPr="003B6BE0">
                    <w:rPr>
                      <w:rFonts w:ascii="Calibri" w:hAnsi="Calibri"/>
                      <w:b/>
                      <w:bCs/>
                      <w:sz w:val="22"/>
                      <w:szCs w:val="22"/>
                      <w:u w:val="single"/>
                    </w:rPr>
                    <w:t>έχουν τη δυνατότητα να άρουν την υπεραριθμία</w:t>
                  </w:r>
                  <w:r w:rsidRPr="003B6BE0">
                    <w:rPr>
                      <w:rFonts w:ascii="Calibri" w:hAnsi="Calibri"/>
                      <w:b/>
                      <w:bCs/>
                      <w:sz w:val="22"/>
                      <w:szCs w:val="22"/>
                    </w:rPr>
                    <w:t>, συμμετέχοντας στη διαδικασία τοποθέτησης των υπεράριθμων εκπαιδευτικών σε κενές οργανικές  θέσεις σχολείων της ίδιας ομάδας ή όμορης, όπου ανήκε το σχολείο το οποίο καταργήθηκε, μέχρι την απόκτηση νέας οργανικής θέσης.</w:t>
                  </w:r>
                </w:p>
                <w:bookmarkEnd w:id="0"/>
                <w:p w:rsidR="00084427" w:rsidRPr="003B6BE0" w:rsidRDefault="00084427" w:rsidP="00BE1176">
                  <w:pPr>
                    <w:pStyle w:val="BodyTextIndent"/>
                    <w:tabs>
                      <w:tab w:val="clear" w:pos="6521"/>
                      <w:tab w:val="clear" w:pos="6804"/>
                      <w:tab w:val="left" w:pos="-1276"/>
                    </w:tabs>
                    <w:ind w:firstLine="0"/>
                    <w:rPr>
                      <w:rFonts w:ascii="Calibri" w:hAnsi="Calibri"/>
                      <w:b/>
                      <w:bCs/>
                      <w:sz w:val="22"/>
                      <w:szCs w:val="22"/>
                      <w:highlight w:val="yellow"/>
                    </w:rPr>
                  </w:pPr>
                </w:p>
                <w:p w:rsidR="00084427" w:rsidRPr="003B6BE0" w:rsidRDefault="00084427" w:rsidP="00BE1176">
                  <w:pPr>
                    <w:pStyle w:val="ListParagraph"/>
                    <w:rPr>
                      <w:rFonts w:ascii="Calibri" w:hAnsi="Calibri"/>
                      <w:b/>
                      <w:bCs/>
                      <w:sz w:val="22"/>
                      <w:szCs w:val="22"/>
                      <w:highlight w:val="yellow"/>
                    </w:rPr>
                  </w:pPr>
                </w:p>
                <w:p w:rsidR="00084427" w:rsidRPr="003B6BE0" w:rsidRDefault="00084427" w:rsidP="00602149">
                  <w:pPr>
                    <w:pStyle w:val="BodyTextIndent"/>
                    <w:tabs>
                      <w:tab w:val="clear" w:pos="6521"/>
                      <w:tab w:val="clear" w:pos="6804"/>
                      <w:tab w:val="left" w:pos="-1276"/>
                    </w:tabs>
                    <w:ind w:firstLine="0"/>
                    <w:rPr>
                      <w:rFonts w:ascii="Calibri" w:hAnsi="Calibri"/>
                      <w:b/>
                      <w:bCs/>
                      <w:sz w:val="22"/>
                      <w:szCs w:val="22"/>
                      <w:highlight w:val="yellow"/>
                    </w:rPr>
                  </w:pPr>
                </w:p>
                <w:p w:rsidR="00084427" w:rsidRPr="003B6BE0" w:rsidRDefault="00084427" w:rsidP="00394CEF">
                  <w:pPr>
                    <w:pStyle w:val="ListParagraph"/>
                    <w:spacing w:after="80"/>
                    <w:ind w:left="0"/>
                    <w:jc w:val="both"/>
                    <w:rPr>
                      <w:rFonts w:ascii="Calibri" w:hAnsi="Calibri"/>
                      <w:b/>
                      <w:bCs/>
                      <w:sz w:val="22"/>
                      <w:szCs w:val="22"/>
                    </w:rPr>
                  </w:pPr>
                </w:p>
                <w:p w:rsidR="00084427" w:rsidRPr="003B6BE0" w:rsidRDefault="00084427" w:rsidP="00394CEF">
                  <w:pPr>
                    <w:pStyle w:val="BodyTextIndent"/>
                    <w:tabs>
                      <w:tab w:val="clear" w:pos="6521"/>
                      <w:tab w:val="clear" w:pos="6804"/>
                      <w:tab w:val="left" w:pos="-1276"/>
                    </w:tabs>
                    <w:ind w:firstLine="0"/>
                    <w:rPr>
                      <w:rFonts w:ascii="Calibri" w:hAnsi="Calibri"/>
                      <w:b/>
                      <w:bCs/>
                      <w:sz w:val="22"/>
                      <w:szCs w:val="22"/>
                    </w:rPr>
                  </w:pPr>
                </w:p>
                <w:p w:rsidR="00084427" w:rsidRPr="003B6BE0" w:rsidRDefault="00084427" w:rsidP="00394CEF">
                  <w:pPr>
                    <w:pStyle w:val="ListParagraph"/>
                    <w:jc w:val="both"/>
                    <w:rPr>
                      <w:rFonts w:ascii="Calibri" w:hAnsi="Calibri"/>
                      <w:b/>
                      <w:bCs/>
                      <w:sz w:val="22"/>
                      <w:szCs w:val="22"/>
                    </w:rPr>
                  </w:pPr>
                </w:p>
                <w:p w:rsidR="00084427" w:rsidRPr="003B6BE0" w:rsidRDefault="00084427" w:rsidP="00394CEF">
                  <w:pPr>
                    <w:pStyle w:val="BodyTextIndent"/>
                    <w:tabs>
                      <w:tab w:val="clear" w:pos="6521"/>
                      <w:tab w:val="clear" w:pos="6804"/>
                      <w:tab w:val="left" w:pos="-1276"/>
                    </w:tabs>
                    <w:rPr>
                      <w:rFonts w:ascii="Calibri" w:hAnsi="Calibri"/>
                      <w:b/>
                      <w:bCs/>
                      <w:sz w:val="22"/>
                      <w:szCs w:val="22"/>
                    </w:rPr>
                  </w:pPr>
                </w:p>
                <w:p w:rsidR="00084427" w:rsidRPr="004E362F" w:rsidRDefault="00084427" w:rsidP="00394CEF">
                  <w:pPr>
                    <w:pStyle w:val="BodyTextIndent"/>
                    <w:tabs>
                      <w:tab w:val="left" w:pos="-1276"/>
                    </w:tabs>
                    <w:rPr>
                      <w:b/>
                      <w:bCs/>
                    </w:rPr>
                  </w:pPr>
                </w:p>
              </w:txbxContent>
            </v:textbox>
            <w10:wrap type="square"/>
          </v:shape>
        </w:pict>
      </w:r>
      <w:r w:rsidR="00F76529">
        <w:rPr>
          <w:rFonts w:ascii="Calibri" w:hAnsi="Calibri"/>
          <w:b/>
          <w:bCs/>
          <w:sz w:val="22"/>
          <w:szCs w:val="22"/>
        </w:rPr>
        <w:t>Γ</w:t>
      </w:r>
      <w:r w:rsidR="000E4543">
        <w:rPr>
          <w:rFonts w:ascii="Calibri" w:hAnsi="Calibri"/>
          <w:b/>
          <w:bCs/>
          <w:sz w:val="22"/>
          <w:szCs w:val="22"/>
        </w:rPr>
        <w:t xml:space="preserve">) </w:t>
      </w:r>
      <w:r w:rsidR="000E4543" w:rsidRPr="000E4543">
        <w:rPr>
          <w:rFonts w:ascii="Calibri" w:hAnsi="Calibri"/>
          <w:bCs/>
          <w:sz w:val="22"/>
          <w:szCs w:val="22"/>
        </w:rPr>
        <w:t xml:space="preserve">Κατά τη </w:t>
      </w:r>
      <w:r w:rsidR="000E4543" w:rsidRPr="000E4543">
        <w:rPr>
          <w:rFonts w:ascii="Calibri" w:hAnsi="Calibri"/>
          <w:b/>
          <w:bCs/>
          <w:sz w:val="22"/>
          <w:szCs w:val="22"/>
        </w:rPr>
        <w:t>πλήρωση των οργανικών κενών</w:t>
      </w:r>
      <w:r w:rsidR="000E4543" w:rsidRPr="000E4543">
        <w:rPr>
          <w:rFonts w:ascii="Calibri" w:hAnsi="Calibri"/>
          <w:bCs/>
          <w:sz w:val="22"/>
          <w:szCs w:val="22"/>
        </w:rPr>
        <w:t xml:space="preserve">  σε μια περιοχή μετάθεσης </w:t>
      </w:r>
      <w:r w:rsidR="000E4543" w:rsidRPr="000E4543">
        <w:rPr>
          <w:rFonts w:ascii="Calibri" w:hAnsi="Calibri"/>
          <w:b/>
          <w:bCs/>
          <w:sz w:val="22"/>
          <w:szCs w:val="22"/>
        </w:rPr>
        <w:t>σειρά προτεραιότητας</w:t>
      </w:r>
      <w:r w:rsidR="000E4543" w:rsidRPr="000E4543">
        <w:rPr>
          <w:rFonts w:ascii="Calibri" w:hAnsi="Calibri"/>
          <w:bCs/>
          <w:sz w:val="22"/>
          <w:szCs w:val="22"/>
        </w:rPr>
        <w:t xml:space="preserve"> έχουν οι οργανικά υπεράριθμοι εκπαιδευτικοί (παρ. 6 του άρθρου  15 του Π.Δ. 50/96), ακολουθούν όσοι ανήκουν σε ειδική κατηγορία του άρθρου 13 του Π.Δ. 50/96, εκτός των πολυτέκνων σύμφωνα με την παρ. 4 του άρθρου 30 του 3848/2010 (ΦΕΚ 71/19-5-2010 τ.Α) και τέλος τοποθετούνται όλοι οι  άλλοι εκπαιδευτικοί που ζητούν βελτίωση και οριστική τοποθέτηση (μετατιθέμενοι και ευρισκόμενοι στη διάθεση του ΠΥΣΔΕ) σύμφωνα με την παρ.8 του άρθρου  15 του Π.Δ. 50/96.</w:t>
      </w:r>
    </w:p>
    <w:p w:rsidR="001D63C8" w:rsidRPr="00F212EC" w:rsidRDefault="00F76529" w:rsidP="00394CEF">
      <w:pPr>
        <w:spacing w:before="240"/>
        <w:rPr>
          <w:i/>
        </w:rPr>
      </w:pPr>
      <w:r>
        <w:rPr>
          <w:rFonts w:eastAsia="Times New Roman"/>
          <w:b/>
          <w:lang w:eastAsia="el-GR"/>
        </w:rPr>
        <w:t>Δ</w:t>
      </w:r>
      <w:r w:rsidR="005F0802" w:rsidRPr="00F212EC">
        <w:rPr>
          <w:rFonts w:eastAsia="Times New Roman"/>
          <w:b/>
          <w:lang w:eastAsia="el-GR"/>
        </w:rPr>
        <w:t>)</w:t>
      </w:r>
      <w:r w:rsidR="00CE5B84" w:rsidRPr="00F212EC">
        <w:rPr>
          <w:rFonts w:eastAsia="Times New Roman"/>
          <w:lang w:eastAsia="el-GR"/>
        </w:rPr>
        <w:t xml:space="preserve"> </w:t>
      </w:r>
      <w:r w:rsidR="001D63C8" w:rsidRPr="00F212EC">
        <w:t xml:space="preserve">Σύμφωνα με την υπ. αριθ. </w:t>
      </w:r>
      <w:r w:rsidR="001D63C8" w:rsidRPr="00FF0AA4">
        <w:t>23464/Γ2/06-03-2012</w:t>
      </w:r>
      <w:r w:rsidR="001D63C8" w:rsidRPr="00F212EC">
        <w:t xml:space="preserve"> υπουργική απόφαση </w:t>
      </w:r>
      <w:r w:rsidR="001D63C8" w:rsidRPr="00F212EC">
        <w:rPr>
          <w:i/>
        </w:rPr>
        <w:t>«Με τα μαθήματα Α΄ ανάθεσης οι εκπαιδευτικοί καλύπτουν το υποχρεωτικό τους ωράριο, ενώ με τα μαθήματα Β΄ ανάθεσης συμπληρώνουν το υποχρεωτικό τους ωράριο ή καλύπτουν εκπαιδευτικές ανάγκες.»</w:t>
      </w:r>
    </w:p>
    <w:p w:rsidR="001D63C8" w:rsidRPr="00F212EC" w:rsidRDefault="001D63C8" w:rsidP="00394CEF">
      <w:pPr>
        <w:spacing w:before="240"/>
      </w:pPr>
      <w:r w:rsidRPr="00F212EC">
        <w:rPr>
          <w:b/>
        </w:rPr>
        <w:t>Δώδεκα (12) ώρες μαθήματος</w:t>
      </w:r>
      <w:r w:rsidRPr="00F212EC">
        <w:t xml:space="preserve"> (</w:t>
      </w:r>
      <w:r w:rsidRPr="00F212EC">
        <w:rPr>
          <w:b/>
        </w:rPr>
        <w:t>κατ</w:t>
      </w:r>
      <w:r w:rsidR="00A121FD" w:rsidRPr="00F212EC">
        <w:rPr>
          <w:b/>
        </w:rPr>
        <w:t xml:space="preserve"> </w:t>
      </w:r>
      <w:r w:rsidRPr="00F212EC">
        <w:rPr>
          <w:b/>
        </w:rPr>
        <w:t>΄ ελάχιστον</w:t>
      </w:r>
      <w:r w:rsidRPr="00F212EC">
        <w:t xml:space="preserve">) </w:t>
      </w:r>
      <w:r w:rsidRPr="00F212EC">
        <w:rPr>
          <w:b/>
        </w:rPr>
        <w:t>συνιστούν οργανικό κενό</w:t>
      </w:r>
      <w:r w:rsidRPr="00F212EC">
        <w:t xml:space="preserve"> το οποίο δίνεται σε εκπαιδευτικό που καλύπτει τις ώρες αυτές με </w:t>
      </w:r>
      <w:r w:rsidRPr="00F212EC">
        <w:rPr>
          <w:b/>
        </w:rPr>
        <w:t>Α΄ ανάθεση</w:t>
      </w:r>
      <w:r w:rsidRPr="00F212EC">
        <w:t xml:space="preserve">, ανεξαρτήτως αν υπάρχουν εκπαιδευτικοί που θα μπορούσαν να συμπληρώσουν το ωράριό τους αναλαμβάνοντας το μάθημα ως Β΄ ανάθεση ή έχοντας δεύτερη ειδικότητα. </w:t>
      </w:r>
    </w:p>
    <w:p w:rsidR="00B46943" w:rsidRPr="00F212EC" w:rsidRDefault="001D63C8" w:rsidP="00394CEF">
      <w:r w:rsidRPr="00F212EC">
        <w:t xml:space="preserve">Οι ώρες ενός μαθήματος δεν μοιράζονται ισομερώς στους εκπαιδευτικούς </w:t>
      </w:r>
      <w:r w:rsidRPr="00F212EC">
        <w:rPr>
          <w:b/>
          <w:u w:val="single"/>
        </w:rPr>
        <w:t>ίδιας ειδικότητας</w:t>
      </w:r>
      <w:r w:rsidRPr="00F212EC">
        <w:t xml:space="preserve">. Πρώτα </w:t>
      </w:r>
      <w:r w:rsidRPr="00F212EC">
        <w:rPr>
          <w:b/>
        </w:rPr>
        <w:t>καλύπτει</w:t>
      </w:r>
      <w:r w:rsidRPr="00F212EC">
        <w:t xml:space="preserve"> το υποχρεωτικό του ωράριο με ώρες μαθημάτων Α΄ </w:t>
      </w:r>
      <w:r w:rsidR="00E8119F" w:rsidRPr="00F212EC">
        <w:t>α</w:t>
      </w:r>
      <w:r w:rsidRPr="00F212EC">
        <w:t>νάθεσης ο εκπαιδευτικός που έχει τοποθετηθεί πρώτος στο σχολείο και στη συνέχεια οι επόμενοι με σειρά παλαιότητας (τοποθέτησης</w:t>
      </w:r>
      <w:r w:rsidR="00BD1846" w:rsidRPr="00F212EC">
        <w:t xml:space="preserve"> στη σχολική μονάδα</w:t>
      </w:r>
      <w:r w:rsidRPr="00F212EC">
        <w:t xml:space="preserve">).  </w:t>
      </w:r>
    </w:p>
    <w:p w:rsidR="001D63C8" w:rsidRPr="00F212EC" w:rsidRDefault="00B46943" w:rsidP="00394CEF">
      <w:r w:rsidRPr="00F212EC">
        <w:t>Πιο συγκεκριμένα ο</w:t>
      </w:r>
      <w:r w:rsidR="001D63C8" w:rsidRPr="00F212EC">
        <w:t xml:space="preserve"> παλαιότερος εκπαιδευτικός καλύπτει το υποχρεωτικό του ωράριο </w:t>
      </w:r>
      <w:r w:rsidRPr="00F212EC">
        <w:t>παίρνοντας</w:t>
      </w:r>
      <w:r w:rsidR="001D63C8" w:rsidRPr="00F212EC">
        <w:t xml:space="preserve"> όλες τις ώρες των μαθημάτων  Α΄ ανάθεσης και εφόσον περισσέψουν ώρες δίνονται σε δεύτερο </w:t>
      </w:r>
      <w:r w:rsidR="001D63C8" w:rsidRPr="00F212EC">
        <w:lastRenderedPageBreak/>
        <w:t xml:space="preserve">εκπαιδευτικό </w:t>
      </w:r>
      <w:r w:rsidR="001D63C8" w:rsidRPr="00F212EC">
        <w:rPr>
          <w:b/>
        </w:rPr>
        <w:t>της ίδιας ειδικότητας</w:t>
      </w:r>
      <w:r w:rsidR="001D63C8" w:rsidRPr="00F212EC">
        <w:t>. Αν ο δεύτερος εκπαιδευτικός δεν μπορεί να καλύψει το ωράριό του με μαθήματα Α΄ ανάθεσης τότε συμπληρώνει με μαθήματα Β΄ ανάθεσης</w:t>
      </w:r>
      <w:r w:rsidR="00F54507" w:rsidRPr="00F212EC">
        <w:t xml:space="preserve"> (εφόσον έχουν </w:t>
      </w:r>
      <w:r w:rsidR="00E3773A" w:rsidRPr="00F212EC">
        <w:t xml:space="preserve">πρώτα </w:t>
      </w:r>
      <w:r w:rsidRPr="00F212EC">
        <w:t xml:space="preserve">καλύψει το ωράριό τους οι </w:t>
      </w:r>
      <w:r w:rsidR="00F54507" w:rsidRPr="00F212EC">
        <w:t xml:space="preserve"> εκπαιδευτικο</w:t>
      </w:r>
      <w:r w:rsidRPr="00F212EC">
        <w:t>ί</w:t>
      </w:r>
      <w:r w:rsidR="00F54507" w:rsidRPr="00F212EC">
        <w:t xml:space="preserve"> που έχουν τα μαθήματα αυτά σε Α΄ ανάθεση).</w:t>
      </w:r>
    </w:p>
    <w:p w:rsidR="00661E03" w:rsidRPr="00F212EC" w:rsidRDefault="006A754F" w:rsidP="00394CEF">
      <w:pPr>
        <w:spacing w:before="240"/>
      </w:pPr>
      <w:r w:rsidRPr="00F212EC">
        <w:t xml:space="preserve">Ο εκπαιδευτικός </w:t>
      </w:r>
      <w:r w:rsidRPr="00F77BBB">
        <w:rPr>
          <w:b/>
        </w:rPr>
        <w:t>χωρίς μαθήματα Α΄ ανάθεσης (τουλάχιστον 12 ώρες)</w:t>
      </w:r>
      <w:r w:rsidR="00AB490F" w:rsidRPr="00F212EC">
        <w:t xml:space="preserve"> </w:t>
      </w:r>
      <w:r w:rsidRPr="008F2C1C">
        <w:rPr>
          <w:b/>
        </w:rPr>
        <w:t>δεν καλύπτει οργανικό κενό και κρίνεται υπεράριθμος</w:t>
      </w:r>
      <w:r w:rsidRPr="00F212EC">
        <w:t xml:space="preserve"> σύμφωνα με τη διαδικασία που περιγράφεται στο άρθρο 14 του Π.Δ. 50/96 όπως τροποποιήθηκε με το Π.Δ. 100/97.</w:t>
      </w:r>
    </w:p>
    <w:p w:rsidR="006A754F" w:rsidRPr="00F212EC" w:rsidRDefault="006A754F" w:rsidP="00394CEF">
      <w:pPr>
        <w:pStyle w:val="BodyTextIndent"/>
        <w:tabs>
          <w:tab w:val="clear" w:pos="6521"/>
          <w:tab w:val="clear" w:pos="6804"/>
          <w:tab w:val="left" w:pos="-1276"/>
        </w:tabs>
        <w:spacing w:before="240" w:after="0"/>
        <w:ind w:firstLine="0"/>
        <w:rPr>
          <w:rFonts w:ascii="Calibri" w:hAnsi="Calibri"/>
          <w:sz w:val="22"/>
          <w:szCs w:val="22"/>
        </w:rPr>
      </w:pPr>
      <w:r w:rsidRPr="00F212EC">
        <w:rPr>
          <w:rFonts w:ascii="Calibri" w:hAnsi="Calibri"/>
          <w:b/>
          <w:sz w:val="22"/>
          <w:szCs w:val="22"/>
        </w:rPr>
        <w:t xml:space="preserve">Προηγούνται στην κάλυψη ωρών ενός μαθήματος οι εκπαιδευτικοί που έχουν το μάθημα </w:t>
      </w:r>
      <w:r w:rsidRPr="00F212EC">
        <w:rPr>
          <w:rFonts w:ascii="Calibri" w:hAnsi="Calibri"/>
          <w:b/>
          <w:sz w:val="22"/>
          <w:szCs w:val="22"/>
          <w:u w:val="single"/>
        </w:rPr>
        <w:t>στη βασική τους ειδικότητα</w:t>
      </w:r>
      <w:r w:rsidRPr="00F212EC">
        <w:rPr>
          <w:rFonts w:ascii="Calibri" w:hAnsi="Calibri"/>
          <w:b/>
          <w:sz w:val="22"/>
          <w:szCs w:val="22"/>
        </w:rPr>
        <w:t>.</w:t>
      </w:r>
      <w:r w:rsidRPr="00F212EC">
        <w:rPr>
          <w:rFonts w:ascii="Calibri" w:hAnsi="Calibri"/>
          <w:sz w:val="22"/>
          <w:szCs w:val="22"/>
        </w:rPr>
        <w:t xml:space="preserve"> </w:t>
      </w:r>
      <w:r w:rsidRPr="00F212EC">
        <w:rPr>
          <w:rFonts w:ascii="Calibri" w:hAnsi="Calibri"/>
          <w:b/>
          <w:sz w:val="22"/>
          <w:szCs w:val="22"/>
        </w:rPr>
        <w:t>Εφόσον και αν περισσεύουν</w:t>
      </w:r>
      <w:r w:rsidRPr="00F212EC">
        <w:rPr>
          <w:rFonts w:ascii="Calibri" w:hAnsi="Calibri"/>
          <w:sz w:val="22"/>
          <w:szCs w:val="22"/>
        </w:rPr>
        <w:t xml:space="preserve"> ώρες του μαθήματος δύναται να δοθούν σε εκπαιδευτικούς που έχουν το μάθημα στη δεύτερη ειδικότητά τους.</w:t>
      </w:r>
    </w:p>
    <w:p w:rsidR="00661E03" w:rsidRPr="00F212EC" w:rsidRDefault="006F0A98" w:rsidP="00394CEF">
      <w:pPr>
        <w:pStyle w:val="BodyTextIndent"/>
        <w:tabs>
          <w:tab w:val="clear" w:pos="6521"/>
          <w:tab w:val="clear" w:pos="6804"/>
        </w:tabs>
        <w:spacing w:before="240" w:after="0"/>
        <w:ind w:firstLine="0"/>
        <w:rPr>
          <w:rFonts w:ascii="Calibri" w:hAnsi="Calibri" w:cs="Arial"/>
          <w:sz w:val="22"/>
          <w:szCs w:val="22"/>
        </w:rPr>
      </w:pPr>
      <w:r w:rsidRPr="00F212EC">
        <w:rPr>
          <w:rFonts w:ascii="Calibri" w:hAnsi="Calibri" w:cs="Arial"/>
          <w:b/>
          <w:sz w:val="22"/>
          <w:szCs w:val="22"/>
        </w:rPr>
        <w:t>Οι ώρες των</w:t>
      </w:r>
      <w:r w:rsidR="00661E03" w:rsidRPr="00F212EC">
        <w:rPr>
          <w:rFonts w:ascii="Calibri" w:hAnsi="Calibri" w:cs="Arial"/>
          <w:b/>
          <w:sz w:val="22"/>
          <w:szCs w:val="22"/>
        </w:rPr>
        <w:t xml:space="preserve"> μαθ</w:t>
      </w:r>
      <w:r w:rsidRPr="00F212EC">
        <w:rPr>
          <w:rFonts w:ascii="Calibri" w:hAnsi="Calibri" w:cs="Arial"/>
          <w:b/>
          <w:sz w:val="22"/>
          <w:szCs w:val="22"/>
        </w:rPr>
        <w:t>ημάτων</w:t>
      </w:r>
      <w:r w:rsidR="00661E03" w:rsidRPr="00F212EC">
        <w:rPr>
          <w:rFonts w:ascii="Calibri" w:hAnsi="Calibri" w:cs="Arial"/>
          <w:b/>
          <w:sz w:val="22"/>
          <w:szCs w:val="22"/>
        </w:rPr>
        <w:t xml:space="preserve"> που διδάσκονται σε πρώτη (α΄) ανάθεση από εκπαιδευτικούς περισσότερων του ενός κλάδων</w:t>
      </w:r>
      <w:r w:rsidR="00661E03" w:rsidRPr="00F212EC">
        <w:rPr>
          <w:rFonts w:ascii="Calibri" w:hAnsi="Calibri" w:cs="Arial"/>
          <w:sz w:val="22"/>
          <w:szCs w:val="22"/>
        </w:rPr>
        <w:t xml:space="preserve"> </w:t>
      </w:r>
      <w:r w:rsidR="006A4466" w:rsidRPr="00F212EC">
        <w:rPr>
          <w:rFonts w:ascii="Calibri" w:hAnsi="Calibri" w:cs="Arial"/>
          <w:b/>
          <w:sz w:val="22"/>
          <w:szCs w:val="22"/>
        </w:rPr>
        <w:t>ή ειδικοτήτων</w:t>
      </w:r>
      <w:r w:rsidR="006A4466" w:rsidRPr="00F212EC">
        <w:rPr>
          <w:rFonts w:ascii="Calibri" w:hAnsi="Calibri" w:cs="Arial"/>
          <w:sz w:val="22"/>
          <w:szCs w:val="22"/>
        </w:rPr>
        <w:t xml:space="preserve"> </w:t>
      </w:r>
      <w:r w:rsidR="00661E03" w:rsidRPr="00F212EC">
        <w:rPr>
          <w:rFonts w:ascii="Calibri" w:hAnsi="Calibri" w:cs="Arial"/>
          <w:sz w:val="22"/>
          <w:szCs w:val="22"/>
        </w:rPr>
        <w:t>(π.χ. των κλάδων ΠΕ10 και ΠΕ13, των κλάδων ΠΕ12, ΠΕ14, ΠΕ17, κ.ά), κατανέμονται</w:t>
      </w:r>
      <w:r w:rsidR="006A4466" w:rsidRPr="00F212EC">
        <w:rPr>
          <w:rFonts w:ascii="Calibri" w:hAnsi="Calibri" w:cs="Arial"/>
          <w:sz w:val="22"/>
          <w:szCs w:val="22"/>
        </w:rPr>
        <w:t xml:space="preserve"> </w:t>
      </w:r>
      <w:r w:rsidR="006A4466" w:rsidRPr="00F212EC">
        <w:rPr>
          <w:rFonts w:ascii="Calibri" w:hAnsi="Calibri" w:cs="Arial"/>
          <w:b/>
          <w:sz w:val="22"/>
          <w:szCs w:val="22"/>
        </w:rPr>
        <w:t>ισομερώς</w:t>
      </w:r>
      <w:r w:rsidR="006A4466" w:rsidRPr="00F212EC">
        <w:rPr>
          <w:rFonts w:ascii="Calibri" w:hAnsi="Calibri" w:cs="Arial"/>
          <w:sz w:val="22"/>
          <w:szCs w:val="22"/>
        </w:rPr>
        <w:t xml:space="preserve"> σε όλους τους κλάδους ή ειδικότητες.</w:t>
      </w:r>
      <w:r w:rsidR="00661E03" w:rsidRPr="00F212EC">
        <w:rPr>
          <w:rFonts w:ascii="Calibri" w:hAnsi="Calibri" w:cs="Arial"/>
          <w:sz w:val="22"/>
          <w:szCs w:val="22"/>
        </w:rPr>
        <w:t xml:space="preserve"> </w:t>
      </w:r>
    </w:p>
    <w:p w:rsidR="00BB6005" w:rsidRPr="00F212EC" w:rsidRDefault="001D63C8" w:rsidP="006C4503">
      <w:pPr>
        <w:pStyle w:val="BodyTextIndent"/>
        <w:tabs>
          <w:tab w:val="clear" w:pos="6521"/>
          <w:tab w:val="clear" w:pos="6804"/>
          <w:tab w:val="left" w:pos="-1276"/>
        </w:tabs>
        <w:spacing w:before="240" w:after="0"/>
        <w:ind w:firstLine="0"/>
        <w:rPr>
          <w:rFonts w:ascii="Calibri" w:hAnsi="Calibri"/>
          <w:sz w:val="22"/>
          <w:szCs w:val="22"/>
        </w:rPr>
      </w:pPr>
      <w:r w:rsidRPr="00F212EC">
        <w:rPr>
          <w:rFonts w:ascii="Calibri" w:hAnsi="Calibri"/>
          <w:sz w:val="22"/>
          <w:szCs w:val="22"/>
        </w:rPr>
        <w:t>Η κρίση υπεραριθμίας γίνεται μεταξύ των εκπαιδευτικών της βασικής τους ειδικότητας σε μία σχολική μονάδα και όχι σε συνδυασμό με τη δεύτερη ειδικότητα. Ο εκπαιδευτικός με δεύτερη ειδικότητα θα κριθεί υπεράριθμος με τους υπόλοιπους εκπαιδευτικούς της βασικής του ειδικότητας, ανεξάρτητα αν μπορεί να καλύψει ώρες μαθημάτων της δεύτερης ειδικότητάς του.</w:t>
      </w:r>
    </w:p>
    <w:p w:rsidR="00685C16" w:rsidRPr="00F212EC" w:rsidRDefault="00685C16" w:rsidP="00394CEF">
      <w:pPr>
        <w:rPr>
          <w:rFonts w:cs="Arial"/>
          <w:b/>
        </w:rPr>
      </w:pPr>
    </w:p>
    <w:p w:rsidR="003F4908" w:rsidRPr="00F212EC" w:rsidRDefault="00F76529" w:rsidP="00394CEF">
      <w:pPr>
        <w:pStyle w:val="BodyTextIndent"/>
        <w:tabs>
          <w:tab w:val="clear" w:pos="6521"/>
          <w:tab w:val="clear" w:pos="6804"/>
          <w:tab w:val="left" w:pos="-1276"/>
        </w:tabs>
        <w:ind w:firstLine="0"/>
        <w:rPr>
          <w:rFonts w:ascii="Calibri" w:hAnsi="Calibri"/>
          <w:b/>
          <w:bCs/>
          <w:sz w:val="22"/>
          <w:szCs w:val="22"/>
        </w:rPr>
      </w:pPr>
      <w:r>
        <w:rPr>
          <w:rFonts w:ascii="Calibri" w:hAnsi="Calibri"/>
          <w:b/>
          <w:sz w:val="22"/>
          <w:szCs w:val="22"/>
        </w:rPr>
        <w:t>Ε</w:t>
      </w:r>
      <w:r w:rsidR="00651CE1" w:rsidRPr="00F212EC">
        <w:rPr>
          <w:rFonts w:ascii="Calibri" w:hAnsi="Calibri"/>
          <w:b/>
          <w:sz w:val="22"/>
          <w:szCs w:val="22"/>
        </w:rPr>
        <w:t>)</w:t>
      </w:r>
      <w:r w:rsidR="00F15189" w:rsidRPr="00F212EC">
        <w:rPr>
          <w:rFonts w:ascii="Calibri" w:hAnsi="Calibri"/>
          <w:sz w:val="22"/>
          <w:szCs w:val="22"/>
        </w:rPr>
        <w:t xml:space="preserve"> </w:t>
      </w:r>
      <w:r w:rsidR="003F4908" w:rsidRPr="00F212EC">
        <w:rPr>
          <w:rFonts w:ascii="Calibri" w:hAnsi="Calibri"/>
          <w:sz w:val="22"/>
          <w:szCs w:val="22"/>
        </w:rPr>
        <w:t xml:space="preserve">Σχετικά με τους </w:t>
      </w:r>
      <w:r w:rsidR="003F4908" w:rsidRPr="00F212EC">
        <w:rPr>
          <w:rFonts w:ascii="Calibri" w:hAnsi="Calibri"/>
          <w:b/>
          <w:bCs/>
          <w:sz w:val="22"/>
          <w:szCs w:val="22"/>
        </w:rPr>
        <w:t>αποσπασμένους εκπαιδευτικούς στο εξωτερικό ισχύουν τα εξής:</w:t>
      </w:r>
    </w:p>
    <w:p w:rsidR="006C4679" w:rsidRPr="00F212EC" w:rsidRDefault="002E5FBA" w:rsidP="006C4679">
      <w:pPr>
        <w:pStyle w:val="BodyTextIndent"/>
        <w:numPr>
          <w:ilvl w:val="0"/>
          <w:numId w:val="29"/>
        </w:numPr>
        <w:tabs>
          <w:tab w:val="clear" w:pos="6521"/>
          <w:tab w:val="clear" w:pos="6804"/>
          <w:tab w:val="left" w:pos="-1276"/>
        </w:tabs>
        <w:ind w:left="0" w:firstLine="0"/>
        <w:rPr>
          <w:rFonts w:ascii="Calibri" w:hAnsi="Calibri"/>
          <w:bCs/>
          <w:sz w:val="22"/>
          <w:szCs w:val="22"/>
        </w:rPr>
      </w:pPr>
      <w:r w:rsidRPr="00F212EC">
        <w:rPr>
          <w:rFonts w:ascii="Calibri" w:hAnsi="Calibri"/>
          <w:bCs/>
          <w:sz w:val="22"/>
          <w:szCs w:val="22"/>
        </w:rPr>
        <w:t xml:space="preserve">Σύμφωνα με την παρ. </w:t>
      </w:r>
      <w:r w:rsidR="003F4908" w:rsidRPr="00F212EC">
        <w:rPr>
          <w:rFonts w:ascii="Calibri" w:hAnsi="Calibri"/>
          <w:bCs/>
          <w:sz w:val="22"/>
          <w:szCs w:val="22"/>
        </w:rPr>
        <w:t>9 του κεφ. Γ΄ του άρθρου 16 του Ν.1566/1985 οι εκπαιδευτικοί που αποσπώνται σε ελληνικά σχολεία του εξωτερικού</w:t>
      </w:r>
      <w:r w:rsidR="003F4908" w:rsidRPr="00F212EC">
        <w:rPr>
          <w:rFonts w:ascii="Calibri" w:hAnsi="Calibri"/>
          <w:bCs/>
          <w:i/>
          <w:sz w:val="22"/>
          <w:szCs w:val="22"/>
        </w:rPr>
        <w:t xml:space="preserve"> «…τίθενται στην διάθεση των διευθύνσεων εκπαίδευσης, από τις οποίες αποσπάστηκαν και οι οργανικές θέσεις τους στα σχολεία θεωρούνται κενές»</w:t>
      </w:r>
      <w:r w:rsidR="003F4908" w:rsidRPr="00F212EC">
        <w:rPr>
          <w:rFonts w:ascii="Calibri" w:hAnsi="Calibri"/>
          <w:bCs/>
          <w:sz w:val="22"/>
          <w:szCs w:val="22"/>
        </w:rPr>
        <w:t xml:space="preserve">. </w:t>
      </w:r>
    </w:p>
    <w:p w:rsidR="006C4679" w:rsidRPr="00F212EC" w:rsidRDefault="006C4679" w:rsidP="006C4679">
      <w:pPr>
        <w:pStyle w:val="BodyTextIndent"/>
        <w:numPr>
          <w:ilvl w:val="0"/>
          <w:numId w:val="29"/>
        </w:numPr>
        <w:tabs>
          <w:tab w:val="clear" w:pos="6521"/>
          <w:tab w:val="clear" w:pos="6804"/>
          <w:tab w:val="left" w:pos="-1276"/>
        </w:tabs>
        <w:ind w:left="0" w:firstLine="0"/>
        <w:rPr>
          <w:rFonts w:ascii="Calibri" w:hAnsi="Calibri"/>
          <w:bCs/>
          <w:sz w:val="22"/>
          <w:szCs w:val="22"/>
        </w:rPr>
      </w:pPr>
      <w:r w:rsidRPr="00F212EC">
        <w:rPr>
          <w:rFonts w:ascii="Calibri" w:hAnsi="Calibri"/>
          <w:bCs/>
          <w:sz w:val="22"/>
          <w:szCs w:val="22"/>
        </w:rPr>
        <w:t>Επιπλέον, σύμφωνα με την αριθμ. 331/2009 γνωμοδότηση του Νομικού Συμβουλίου του Κράτους «…οι εκπαιδευτικοί που αποσπώνται, σύμφωνα  με τις παρ. 9</w:t>
      </w:r>
      <w:r w:rsidRPr="00F212EC">
        <w:rPr>
          <w:rFonts w:ascii="Calibri" w:hAnsi="Calibri"/>
          <w:bCs/>
          <w:sz w:val="22"/>
          <w:szCs w:val="22"/>
          <w:vertAlign w:val="superscript"/>
        </w:rPr>
        <w:t xml:space="preserve"> </w:t>
      </w:r>
      <w:r w:rsidRPr="00F212EC">
        <w:rPr>
          <w:rFonts w:ascii="Calibri" w:hAnsi="Calibri"/>
          <w:bCs/>
          <w:sz w:val="22"/>
          <w:szCs w:val="22"/>
        </w:rPr>
        <w:t xml:space="preserve">α και 9β του άρθρου 8 του Ν. 3194/2003, σε υπηρεσία του Υπουργείου Εθνικής Παιδείας και Θρησκευμάτων ή του Δημοσίου στο εξωτερικό, δεν διατηρούν την οργανική τους θέση». </w:t>
      </w:r>
    </w:p>
    <w:p w:rsidR="003C6A0C" w:rsidRDefault="003F4908" w:rsidP="00F212EC">
      <w:pPr>
        <w:pStyle w:val="BodyTextIndent"/>
        <w:numPr>
          <w:ilvl w:val="0"/>
          <w:numId w:val="29"/>
        </w:numPr>
        <w:tabs>
          <w:tab w:val="clear" w:pos="6521"/>
          <w:tab w:val="clear" w:pos="6804"/>
          <w:tab w:val="left" w:pos="-1276"/>
        </w:tabs>
        <w:ind w:left="0" w:firstLine="0"/>
        <w:rPr>
          <w:rFonts w:ascii="Calibri" w:hAnsi="Calibri"/>
          <w:bCs/>
          <w:sz w:val="22"/>
          <w:szCs w:val="22"/>
        </w:rPr>
      </w:pPr>
      <w:r w:rsidRPr="00F212EC">
        <w:rPr>
          <w:rFonts w:ascii="Calibri" w:hAnsi="Calibri"/>
          <w:bCs/>
          <w:sz w:val="22"/>
          <w:szCs w:val="22"/>
        </w:rPr>
        <w:t xml:space="preserve">Επίσης, σύμφωνα με την </w:t>
      </w:r>
      <w:r w:rsidRPr="00F212EC">
        <w:rPr>
          <w:rFonts w:ascii="Calibri" w:hAnsi="Calibri"/>
          <w:b/>
          <w:bCs/>
          <w:sz w:val="22"/>
          <w:szCs w:val="22"/>
        </w:rPr>
        <w:t>υπ. αριθ. 7653/Δ2/18-01-2013</w:t>
      </w:r>
      <w:r w:rsidRPr="00F212EC">
        <w:rPr>
          <w:rFonts w:ascii="Calibri" w:hAnsi="Calibri"/>
          <w:bCs/>
          <w:sz w:val="22"/>
          <w:szCs w:val="22"/>
        </w:rPr>
        <w:t xml:space="preserve"> εγκύκλιο μεταθέσεων   «Οι </w:t>
      </w:r>
      <w:r w:rsidRPr="00F212EC">
        <w:rPr>
          <w:rFonts w:ascii="Calibri" w:hAnsi="Calibri"/>
          <w:bCs/>
          <w:i/>
          <w:sz w:val="22"/>
          <w:szCs w:val="22"/>
        </w:rPr>
        <w:t>εκπαιδευτικοί που υπηρετούν με απόσπαση σε ελληνικά σχολεία του εξωτερικού και διανύουν το έτος λήξης της απόσπασής τους ή έχει ανακληθεί η απόσπασής τους… υποβάλλουν  αίτηση- δήλωση οριστικής τοποθέτησης μόνον σε σχολεία της περιοχής που ανήκει το σχολείο από το οποίο αποσπάστηκαν</w:t>
      </w:r>
      <w:r w:rsidRPr="00F212EC">
        <w:rPr>
          <w:rFonts w:ascii="Calibri" w:hAnsi="Calibri"/>
          <w:bCs/>
          <w:sz w:val="22"/>
          <w:szCs w:val="22"/>
        </w:rPr>
        <w:t>» (άρθρο 8 παρ. 3, Ν. 2817/2000) και τοποθετούνται  σε κενή οργανική θέση σύμφωνα με τις διατάξεις  του άρθρου 15 του Π</w:t>
      </w:r>
      <w:r w:rsidR="003C4AD5" w:rsidRPr="00F212EC">
        <w:rPr>
          <w:rFonts w:ascii="Calibri" w:hAnsi="Calibri"/>
          <w:bCs/>
          <w:sz w:val="22"/>
          <w:szCs w:val="22"/>
        </w:rPr>
        <w:t>.</w:t>
      </w:r>
      <w:r w:rsidRPr="00F212EC">
        <w:rPr>
          <w:rFonts w:ascii="Calibri" w:hAnsi="Calibri"/>
          <w:bCs/>
          <w:sz w:val="22"/>
          <w:szCs w:val="22"/>
        </w:rPr>
        <w:t>Δ</w:t>
      </w:r>
      <w:r w:rsidR="003C4AD5" w:rsidRPr="00F212EC">
        <w:rPr>
          <w:rFonts w:ascii="Calibri" w:hAnsi="Calibri"/>
          <w:bCs/>
          <w:sz w:val="22"/>
          <w:szCs w:val="22"/>
        </w:rPr>
        <w:t>.</w:t>
      </w:r>
      <w:r w:rsidRPr="00F212EC">
        <w:rPr>
          <w:rFonts w:ascii="Calibri" w:hAnsi="Calibri"/>
          <w:bCs/>
          <w:sz w:val="22"/>
          <w:szCs w:val="22"/>
        </w:rPr>
        <w:t>50/96, όπως αυτό τροποποιήθηκε από το ΠΔ100/97</w:t>
      </w:r>
      <w:r w:rsidR="00F212EC" w:rsidRPr="00F212EC">
        <w:rPr>
          <w:rFonts w:ascii="Calibri" w:hAnsi="Calibri"/>
          <w:bCs/>
          <w:sz w:val="22"/>
          <w:szCs w:val="22"/>
        </w:rPr>
        <w:t>.</w:t>
      </w:r>
    </w:p>
    <w:p w:rsidR="00EC2373" w:rsidRDefault="006E2329" w:rsidP="00CA7BFF">
      <w:pPr>
        <w:pStyle w:val="NormalWeb"/>
        <w:spacing w:before="0" w:after="0"/>
        <w:ind w:left="1440" w:firstLine="720"/>
        <w:jc w:val="center"/>
        <w:rPr>
          <w:rFonts w:ascii="Calibri" w:hAnsi="Calibri" w:cs="Arial"/>
          <w:b/>
          <w:sz w:val="22"/>
          <w:szCs w:val="22"/>
        </w:rPr>
      </w:pPr>
      <w:r w:rsidRPr="00F212EC">
        <w:rPr>
          <w:rFonts w:ascii="Calibri" w:hAnsi="Calibri" w:cs="Arial"/>
          <w:b/>
          <w:sz w:val="22"/>
          <w:szCs w:val="22"/>
        </w:rPr>
        <w:tab/>
      </w:r>
      <w:r w:rsidR="00EC2373" w:rsidRPr="00F212EC">
        <w:rPr>
          <w:rFonts w:ascii="Calibri" w:hAnsi="Calibri" w:cs="Arial"/>
          <w:b/>
          <w:sz w:val="22"/>
          <w:szCs w:val="22"/>
        </w:rPr>
        <w:tab/>
      </w:r>
      <w:r w:rsidR="00CA7BFF" w:rsidRPr="00F212EC">
        <w:rPr>
          <w:rFonts w:ascii="Calibri" w:hAnsi="Calibri" w:cs="Arial"/>
          <w:b/>
          <w:sz w:val="22"/>
          <w:szCs w:val="22"/>
        </w:rPr>
        <w:t>Ο ΥΦΥΠΟΥΡΓΟΣ</w:t>
      </w:r>
    </w:p>
    <w:p w:rsidR="00A52E99" w:rsidRPr="00F212EC" w:rsidRDefault="00A52E99" w:rsidP="00CA7BFF">
      <w:pPr>
        <w:pStyle w:val="NormalWeb"/>
        <w:spacing w:before="0" w:after="0"/>
        <w:ind w:left="1440" w:firstLine="720"/>
        <w:jc w:val="center"/>
        <w:rPr>
          <w:rFonts w:ascii="Calibri" w:hAnsi="Calibri" w:cs="Arial"/>
          <w:b/>
          <w:sz w:val="22"/>
          <w:szCs w:val="22"/>
        </w:rPr>
      </w:pPr>
    </w:p>
    <w:p w:rsidR="00CA7BFF" w:rsidRPr="00F212EC" w:rsidRDefault="00CA7BFF" w:rsidP="00CA7BFF">
      <w:pPr>
        <w:pStyle w:val="NormalWeb"/>
        <w:spacing w:before="0" w:after="0"/>
        <w:ind w:left="1440" w:firstLine="720"/>
        <w:jc w:val="center"/>
        <w:rPr>
          <w:rFonts w:ascii="Calibri" w:hAnsi="Calibri" w:cs="Arial"/>
          <w:b/>
          <w:sz w:val="22"/>
          <w:szCs w:val="22"/>
        </w:rPr>
      </w:pPr>
    </w:p>
    <w:p w:rsidR="003940E4" w:rsidRPr="00B11BA5" w:rsidRDefault="00CA7BFF" w:rsidP="00B11BA5">
      <w:pPr>
        <w:pStyle w:val="NormalWeb"/>
        <w:spacing w:before="0" w:after="0"/>
        <w:ind w:left="1440" w:firstLine="720"/>
        <w:jc w:val="center"/>
        <w:rPr>
          <w:rFonts w:ascii="Calibri" w:hAnsi="Calibri" w:cs="Arial"/>
          <w:b/>
          <w:sz w:val="22"/>
          <w:szCs w:val="22"/>
        </w:rPr>
      </w:pPr>
      <w:r w:rsidRPr="00F212EC">
        <w:rPr>
          <w:rFonts w:ascii="Calibri" w:hAnsi="Calibri" w:cs="Arial"/>
          <w:b/>
          <w:sz w:val="22"/>
          <w:szCs w:val="22"/>
        </w:rPr>
        <w:t xml:space="preserve">                             </w:t>
      </w:r>
      <w:r w:rsidR="00522462" w:rsidRPr="00F212EC">
        <w:rPr>
          <w:rFonts w:ascii="Calibri" w:hAnsi="Calibri" w:cs="Arial"/>
          <w:b/>
          <w:sz w:val="22"/>
          <w:szCs w:val="22"/>
        </w:rPr>
        <w:t>ΘΕΟΔΩΡΟΣ Π</w:t>
      </w:r>
      <w:r w:rsidRPr="00F212EC">
        <w:rPr>
          <w:rFonts w:ascii="Calibri" w:hAnsi="Calibri" w:cs="Arial"/>
          <w:b/>
          <w:sz w:val="22"/>
          <w:szCs w:val="22"/>
        </w:rPr>
        <w:t>.</w:t>
      </w:r>
      <w:r w:rsidR="00522462" w:rsidRPr="00F212EC">
        <w:rPr>
          <w:rFonts w:ascii="Calibri" w:hAnsi="Calibri" w:cs="Arial"/>
          <w:b/>
          <w:sz w:val="22"/>
          <w:szCs w:val="22"/>
        </w:rPr>
        <w:t xml:space="preserve"> </w:t>
      </w:r>
      <w:r w:rsidRPr="00F212EC">
        <w:rPr>
          <w:rFonts w:ascii="Calibri" w:hAnsi="Calibri" w:cs="Arial"/>
          <w:b/>
          <w:sz w:val="22"/>
          <w:szCs w:val="22"/>
        </w:rPr>
        <w:t>ΠΑΠΑΘΕΟΔΩΡΟΥ</w:t>
      </w:r>
    </w:p>
    <w:p w:rsidR="00A52E99" w:rsidRDefault="00A52E99" w:rsidP="004C6242">
      <w:pPr>
        <w:rPr>
          <w:rFonts w:cs="Arial"/>
          <w:b/>
          <w:sz w:val="14"/>
          <w:szCs w:val="16"/>
          <w:u w:val="single"/>
        </w:rPr>
      </w:pPr>
    </w:p>
    <w:p w:rsidR="004C6242" w:rsidRPr="00490D6F" w:rsidRDefault="004C6242" w:rsidP="004C6242">
      <w:pPr>
        <w:rPr>
          <w:rFonts w:cs="Arial"/>
          <w:b/>
          <w:sz w:val="14"/>
          <w:szCs w:val="16"/>
        </w:rPr>
      </w:pPr>
      <w:r w:rsidRPr="00490D6F">
        <w:rPr>
          <w:rFonts w:cs="Arial"/>
          <w:b/>
          <w:sz w:val="14"/>
          <w:szCs w:val="16"/>
          <w:u w:val="single"/>
        </w:rPr>
        <w:t>Εσωτερική Διανομή</w:t>
      </w:r>
      <w:r w:rsidRPr="00490D6F">
        <w:rPr>
          <w:rFonts w:cs="Arial"/>
          <w:b/>
          <w:sz w:val="14"/>
          <w:szCs w:val="16"/>
        </w:rPr>
        <w:t>:</w:t>
      </w:r>
      <w:r w:rsidRPr="00490D6F">
        <w:rPr>
          <w:rFonts w:cs="Arial"/>
          <w:sz w:val="14"/>
          <w:szCs w:val="16"/>
        </w:rPr>
        <w:t xml:space="preserve">  </w:t>
      </w:r>
    </w:p>
    <w:p w:rsidR="004C6242" w:rsidRPr="00490D6F"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sidRPr="00490D6F">
        <w:rPr>
          <w:rFonts w:cs="Arial"/>
          <w:sz w:val="14"/>
          <w:szCs w:val="16"/>
        </w:rPr>
        <w:t>Γραφείο Υπουργού</w:t>
      </w:r>
    </w:p>
    <w:p w:rsidR="004C6242" w:rsidRPr="00490D6F"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sidRPr="00490D6F">
        <w:rPr>
          <w:rFonts w:cs="Arial"/>
          <w:sz w:val="14"/>
          <w:szCs w:val="16"/>
        </w:rPr>
        <w:t>Γραφείο Υφυπουργού</w:t>
      </w:r>
    </w:p>
    <w:p w:rsidR="004C6242" w:rsidRPr="00490D6F"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sidRPr="00490D6F">
        <w:rPr>
          <w:rFonts w:cs="Arial"/>
          <w:sz w:val="14"/>
          <w:szCs w:val="16"/>
        </w:rPr>
        <w:t>Γραφείο Γενικού Γραμματέα</w:t>
      </w:r>
    </w:p>
    <w:p w:rsidR="004C6242" w:rsidRPr="00490D6F"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sidRPr="00490D6F">
        <w:rPr>
          <w:rFonts w:cs="Arial"/>
          <w:sz w:val="14"/>
          <w:szCs w:val="16"/>
        </w:rPr>
        <w:t xml:space="preserve">Γεν. Δ/νση Διοίκησης Π.Ε. και Δ.Ε.                                                         </w:t>
      </w:r>
    </w:p>
    <w:p w:rsidR="004C6242" w:rsidRPr="00490D6F"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sidRPr="00490D6F">
        <w:rPr>
          <w:rFonts w:cs="Arial"/>
          <w:sz w:val="14"/>
          <w:szCs w:val="16"/>
        </w:rPr>
        <w:t xml:space="preserve">Δ/νση Προσ/κού Δ.Ε. - Τμήμα Γ’            </w:t>
      </w:r>
      <w:r w:rsidRPr="00490D6F">
        <w:rPr>
          <w:rFonts w:cs="Arial"/>
          <w:sz w:val="14"/>
          <w:szCs w:val="16"/>
        </w:rPr>
        <w:tab/>
      </w:r>
    </w:p>
    <w:p w:rsidR="004C6242" w:rsidRPr="00490D6F"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sidRPr="00490D6F">
        <w:rPr>
          <w:rFonts w:cs="Arial"/>
          <w:sz w:val="14"/>
          <w:szCs w:val="16"/>
        </w:rPr>
        <w:t>Δ/νση Σπουδών Δ.Ε.</w:t>
      </w:r>
    </w:p>
    <w:p w:rsidR="004C6242" w:rsidRPr="00490D6F"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sidRPr="00490D6F">
        <w:rPr>
          <w:rFonts w:cs="Arial"/>
          <w:sz w:val="14"/>
          <w:szCs w:val="16"/>
        </w:rPr>
        <w:t>Δ/νση ΔΙΠΟΔΕ (με την παράκληση να διαβιβάσει</w:t>
      </w:r>
    </w:p>
    <w:p w:rsidR="004C6242" w:rsidRPr="00490D6F" w:rsidRDefault="004C6242" w:rsidP="004C6242">
      <w:pPr>
        <w:ind w:left="284"/>
        <w:rPr>
          <w:rFonts w:cs="Arial"/>
          <w:sz w:val="14"/>
          <w:szCs w:val="16"/>
        </w:rPr>
      </w:pPr>
      <w:r w:rsidRPr="00490D6F">
        <w:rPr>
          <w:rFonts w:cs="Arial"/>
          <w:sz w:val="14"/>
          <w:szCs w:val="16"/>
        </w:rPr>
        <w:t xml:space="preserve">την παρούσα εγκύκλιο στα Γραφεία Συντονιστών Δ/θμιας Εκπ/σης) </w:t>
      </w:r>
    </w:p>
    <w:p w:rsidR="004C6242"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sidRPr="00490D6F">
        <w:rPr>
          <w:rFonts w:cs="Arial"/>
          <w:sz w:val="14"/>
          <w:szCs w:val="16"/>
        </w:rPr>
        <w:t>Δ/νση Ειδικής Αγωγής</w:t>
      </w:r>
    </w:p>
    <w:p w:rsidR="004C6242" w:rsidRPr="00490D6F"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Pr>
          <w:rFonts w:cs="Arial"/>
          <w:sz w:val="14"/>
          <w:szCs w:val="16"/>
        </w:rPr>
        <w:t>Δ/νση ΣΕΠΕΔ</w:t>
      </w:r>
    </w:p>
    <w:p w:rsidR="004C6242" w:rsidRPr="00490D6F"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sidRPr="00490D6F">
        <w:rPr>
          <w:rFonts w:cs="Arial"/>
          <w:sz w:val="14"/>
          <w:szCs w:val="16"/>
        </w:rPr>
        <w:t>Κ.Υ.Σ.Δ.Ε.</w:t>
      </w:r>
    </w:p>
    <w:p w:rsidR="00A171DE" w:rsidRPr="00336908" w:rsidRDefault="004C6242" w:rsidP="004C6242">
      <w:pPr>
        <w:numPr>
          <w:ilvl w:val="0"/>
          <w:numId w:val="36"/>
        </w:numPr>
        <w:tabs>
          <w:tab w:val="clear" w:pos="720"/>
        </w:tabs>
        <w:overflowPunct w:val="0"/>
        <w:autoSpaceDE w:val="0"/>
        <w:autoSpaceDN w:val="0"/>
        <w:adjustRightInd w:val="0"/>
        <w:ind w:left="284" w:hanging="284"/>
        <w:textAlignment w:val="baseline"/>
        <w:rPr>
          <w:rFonts w:cs="Arial"/>
          <w:sz w:val="14"/>
          <w:szCs w:val="16"/>
        </w:rPr>
      </w:pPr>
      <w:r w:rsidRPr="00490D6F">
        <w:rPr>
          <w:rFonts w:cs="Arial"/>
          <w:sz w:val="14"/>
          <w:szCs w:val="16"/>
        </w:rPr>
        <w:t>Γ.Ε.Π.Ο.</w:t>
      </w:r>
    </w:p>
    <w:sectPr w:rsidR="00A171DE" w:rsidRPr="00336908" w:rsidSect="00084427">
      <w:footerReference w:type="default" r:id="rId9"/>
      <w:pgSz w:w="11906" w:h="16838"/>
      <w:pgMar w:top="993" w:right="141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1DC" w:rsidRDefault="001C51DC" w:rsidP="00E7608A">
      <w:r>
        <w:separator/>
      </w:r>
    </w:p>
  </w:endnote>
  <w:endnote w:type="continuationSeparator" w:id="0">
    <w:p w:rsidR="001C51DC" w:rsidRDefault="001C51DC" w:rsidP="00E7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27" w:rsidRDefault="00604190">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7172" type="#_x0000_t185" style="position:absolute;left:0;text-align:left;margin-left:276.45pt;margin-top:786.45pt;width:42.55pt;height:18.8pt;z-index:251658240;mso-width-percent:100;mso-position-horizontal-relative:page;mso-position-vertical-relative:page;mso-width-percent:100;mso-width-relative:margin;mso-height-relative:bottom-margin-area" filled="t" strokecolor="gray" strokeweight="2.25pt">
          <v:textbox inset=",0,,0">
            <w:txbxContent>
              <w:p w:rsidR="00084427" w:rsidRDefault="00604190">
                <w:pPr>
                  <w:jc w:val="center"/>
                </w:pPr>
                <w:r>
                  <w:fldChar w:fldCharType="begin"/>
                </w:r>
                <w:r>
                  <w:instrText xml:space="preserve"> PAGE    \* MERGEFORMAT </w:instrText>
                </w:r>
                <w:r>
                  <w:fldChar w:fldCharType="separate"/>
                </w:r>
                <w:r w:rsidR="00E35FCB">
                  <w:rPr>
                    <w:noProof/>
                  </w:rPr>
                  <w:t>4</w:t>
                </w:r>
                <w: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7171" type="#_x0000_t32" style="position:absolute;left:0;text-align:left;margin-left:80.5pt;margin-top:795.8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1DC" w:rsidRDefault="001C51DC" w:rsidP="00E7608A">
      <w:r>
        <w:separator/>
      </w:r>
    </w:p>
  </w:footnote>
  <w:footnote w:type="continuationSeparator" w:id="0">
    <w:p w:rsidR="001C51DC" w:rsidRDefault="001C51DC" w:rsidP="00E76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89D"/>
    <w:multiLevelType w:val="hybridMultilevel"/>
    <w:tmpl w:val="426CBF64"/>
    <w:lvl w:ilvl="0" w:tplc="04080011">
      <w:start w:val="1"/>
      <w:numFmt w:val="decimal"/>
      <w:lvlText w:val="%1)"/>
      <w:lvlJc w:val="left"/>
      <w:pPr>
        <w:ind w:left="1985" w:hanging="360"/>
      </w:pPr>
    </w:lvl>
    <w:lvl w:ilvl="1" w:tplc="04080019">
      <w:start w:val="1"/>
      <w:numFmt w:val="decimal"/>
      <w:lvlText w:val="%2."/>
      <w:lvlJc w:val="left"/>
      <w:pPr>
        <w:tabs>
          <w:tab w:val="num" w:pos="2705"/>
        </w:tabs>
        <w:ind w:left="2705" w:hanging="360"/>
      </w:pPr>
    </w:lvl>
    <w:lvl w:ilvl="2" w:tplc="0408001B">
      <w:start w:val="1"/>
      <w:numFmt w:val="decimal"/>
      <w:lvlText w:val="%3."/>
      <w:lvlJc w:val="left"/>
      <w:pPr>
        <w:tabs>
          <w:tab w:val="num" w:pos="3425"/>
        </w:tabs>
        <w:ind w:left="3425" w:hanging="360"/>
      </w:pPr>
    </w:lvl>
    <w:lvl w:ilvl="3" w:tplc="0408000F">
      <w:start w:val="1"/>
      <w:numFmt w:val="decimal"/>
      <w:lvlText w:val="%4."/>
      <w:lvlJc w:val="left"/>
      <w:pPr>
        <w:tabs>
          <w:tab w:val="num" w:pos="4145"/>
        </w:tabs>
        <w:ind w:left="4145" w:hanging="360"/>
      </w:pPr>
    </w:lvl>
    <w:lvl w:ilvl="4" w:tplc="04080019">
      <w:start w:val="1"/>
      <w:numFmt w:val="decimal"/>
      <w:lvlText w:val="%5."/>
      <w:lvlJc w:val="left"/>
      <w:pPr>
        <w:tabs>
          <w:tab w:val="num" w:pos="4865"/>
        </w:tabs>
        <w:ind w:left="4865" w:hanging="360"/>
      </w:pPr>
    </w:lvl>
    <w:lvl w:ilvl="5" w:tplc="0408001B">
      <w:start w:val="1"/>
      <w:numFmt w:val="decimal"/>
      <w:lvlText w:val="%6."/>
      <w:lvlJc w:val="left"/>
      <w:pPr>
        <w:tabs>
          <w:tab w:val="num" w:pos="5585"/>
        </w:tabs>
        <w:ind w:left="5585" w:hanging="360"/>
      </w:pPr>
    </w:lvl>
    <w:lvl w:ilvl="6" w:tplc="0408000F">
      <w:start w:val="1"/>
      <w:numFmt w:val="decimal"/>
      <w:lvlText w:val="%7."/>
      <w:lvlJc w:val="left"/>
      <w:pPr>
        <w:tabs>
          <w:tab w:val="num" w:pos="6305"/>
        </w:tabs>
        <w:ind w:left="6305" w:hanging="360"/>
      </w:pPr>
    </w:lvl>
    <w:lvl w:ilvl="7" w:tplc="04080019">
      <w:start w:val="1"/>
      <w:numFmt w:val="decimal"/>
      <w:lvlText w:val="%8."/>
      <w:lvlJc w:val="left"/>
      <w:pPr>
        <w:tabs>
          <w:tab w:val="num" w:pos="7025"/>
        </w:tabs>
        <w:ind w:left="7025" w:hanging="360"/>
      </w:pPr>
    </w:lvl>
    <w:lvl w:ilvl="8" w:tplc="0408001B">
      <w:start w:val="1"/>
      <w:numFmt w:val="decimal"/>
      <w:lvlText w:val="%9."/>
      <w:lvlJc w:val="left"/>
      <w:pPr>
        <w:tabs>
          <w:tab w:val="num" w:pos="7745"/>
        </w:tabs>
        <w:ind w:left="7745" w:hanging="360"/>
      </w:pPr>
    </w:lvl>
  </w:abstractNum>
  <w:abstractNum w:abstractNumId="1">
    <w:nsid w:val="068A0427"/>
    <w:multiLevelType w:val="hybridMultilevel"/>
    <w:tmpl w:val="09D446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597FC2"/>
    <w:multiLevelType w:val="hybridMultilevel"/>
    <w:tmpl w:val="DB8ADF06"/>
    <w:lvl w:ilvl="0" w:tplc="9CB673B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D4A72C6"/>
    <w:multiLevelType w:val="hybridMultilevel"/>
    <w:tmpl w:val="A940709C"/>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nsid w:val="0E6442D4"/>
    <w:multiLevelType w:val="hybridMultilevel"/>
    <w:tmpl w:val="057E1FE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264B01"/>
    <w:multiLevelType w:val="hybridMultilevel"/>
    <w:tmpl w:val="363850B6"/>
    <w:lvl w:ilvl="0" w:tplc="04080009">
      <w:start w:val="1"/>
      <w:numFmt w:val="bullet"/>
      <w:lvlText w:val=""/>
      <w:lvlJc w:val="left"/>
      <w:pPr>
        <w:ind w:left="3195" w:hanging="360"/>
      </w:pPr>
      <w:rPr>
        <w:rFonts w:ascii="Wingdings" w:hAnsi="Wingdings" w:hint="default"/>
      </w:rPr>
    </w:lvl>
    <w:lvl w:ilvl="1" w:tplc="04080003" w:tentative="1">
      <w:start w:val="1"/>
      <w:numFmt w:val="bullet"/>
      <w:lvlText w:val="o"/>
      <w:lvlJc w:val="left"/>
      <w:pPr>
        <w:ind w:left="3915" w:hanging="360"/>
      </w:pPr>
      <w:rPr>
        <w:rFonts w:ascii="Courier New" w:hAnsi="Courier New" w:cs="Courier New" w:hint="default"/>
      </w:rPr>
    </w:lvl>
    <w:lvl w:ilvl="2" w:tplc="04080005" w:tentative="1">
      <w:start w:val="1"/>
      <w:numFmt w:val="bullet"/>
      <w:lvlText w:val=""/>
      <w:lvlJc w:val="left"/>
      <w:pPr>
        <w:ind w:left="4635" w:hanging="360"/>
      </w:pPr>
      <w:rPr>
        <w:rFonts w:ascii="Wingdings" w:hAnsi="Wingdings" w:hint="default"/>
      </w:rPr>
    </w:lvl>
    <w:lvl w:ilvl="3" w:tplc="04080001" w:tentative="1">
      <w:start w:val="1"/>
      <w:numFmt w:val="bullet"/>
      <w:lvlText w:val=""/>
      <w:lvlJc w:val="left"/>
      <w:pPr>
        <w:ind w:left="5355" w:hanging="360"/>
      </w:pPr>
      <w:rPr>
        <w:rFonts w:ascii="Symbol" w:hAnsi="Symbol" w:hint="default"/>
      </w:rPr>
    </w:lvl>
    <w:lvl w:ilvl="4" w:tplc="04080003" w:tentative="1">
      <w:start w:val="1"/>
      <w:numFmt w:val="bullet"/>
      <w:lvlText w:val="o"/>
      <w:lvlJc w:val="left"/>
      <w:pPr>
        <w:ind w:left="6075" w:hanging="360"/>
      </w:pPr>
      <w:rPr>
        <w:rFonts w:ascii="Courier New" w:hAnsi="Courier New" w:cs="Courier New" w:hint="default"/>
      </w:rPr>
    </w:lvl>
    <w:lvl w:ilvl="5" w:tplc="04080005" w:tentative="1">
      <w:start w:val="1"/>
      <w:numFmt w:val="bullet"/>
      <w:lvlText w:val=""/>
      <w:lvlJc w:val="left"/>
      <w:pPr>
        <w:ind w:left="6795" w:hanging="360"/>
      </w:pPr>
      <w:rPr>
        <w:rFonts w:ascii="Wingdings" w:hAnsi="Wingdings" w:hint="default"/>
      </w:rPr>
    </w:lvl>
    <w:lvl w:ilvl="6" w:tplc="04080001" w:tentative="1">
      <w:start w:val="1"/>
      <w:numFmt w:val="bullet"/>
      <w:lvlText w:val=""/>
      <w:lvlJc w:val="left"/>
      <w:pPr>
        <w:ind w:left="7515" w:hanging="360"/>
      </w:pPr>
      <w:rPr>
        <w:rFonts w:ascii="Symbol" w:hAnsi="Symbol" w:hint="default"/>
      </w:rPr>
    </w:lvl>
    <w:lvl w:ilvl="7" w:tplc="04080003" w:tentative="1">
      <w:start w:val="1"/>
      <w:numFmt w:val="bullet"/>
      <w:lvlText w:val="o"/>
      <w:lvlJc w:val="left"/>
      <w:pPr>
        <w:ind w:left="8235" w:hanging="360"/>
      </w:pPr>
      <w:rPr>
        <w:rFonts w:ascii="Courier New" w:hAnsi="Courier New" w:cs="Courier New" w:hint="default"/>
      </w:rPr>
    </w:lvl>
    <w:lvl w:ilvl="8" w:tplc="04080005" w:tentative="1">
      <w:start w:val="1"/>
      <w:numFmt w:val="bullet"/>
      <w:lvlText w:val=""/>
      <w:lvlJc w:val="left"/>
      <w:pPr>
        <w:ind w:left="8955" w:hanging="360"/>
      </w:pPr>
      <w:rPr>
        <w:rFonts w:ascii="Wingdings" w:hAnsi="Wingdings" w:hint="default"/>
      </w:rPr>
    </w:lvl>
  </w:abstractNum>
  <w:abstractNum w:abstractNumId="6">
    <w:nsid w:val="1E3A5901"/>
    <w:multiLevelType w:val="hybridMultilevel"/>
    <w:tmpl w:val="94BA10C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AA18BC"/>
    <w:multiLevelType w:val="hybridMultilevel"/>
    <w:tmpl w:val="0AE8AE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18E08F2"/>
    <w:multiLevelType w:val="hybridMultilevel"/>
    <w:tmpl w:val="7F3A472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21992DB6"/>
    <w:multiLevelType w:val="hybridMultilevel"/>
    <w:tmpl w:val="C5C00FE8"/>
    <w:lvl w:ilvl="0" w:tplc="D9F0473C">
      <w:start w:val="1"/>
      <w:numFmt w:val="decimal"/>
      <w:lvlText w:val="%1."/>
      <w:lvlJc w:val="left"/>
      <w:pPr>
        <w:ind w:left="2586" w:hanging="360"/>
      </w:pPr>
      <w:rPr>
        <w:rFonts w:ascii="Calibri" w:eastAsia="Times New Roman" w:hAnsi="Calibri" w:cs="Arial"/>
      </w:rPr>
    </w:lvl>
    <w:lvl w:ilvl="1" w:tplc="83CE0514">
      <w:start w:val="1"/>
      <w:numFmt w:val="decimal"/>
      <w:lvlText w:val="%2."/>
      <w:lvlJc w:val="left"/>
      <w:pPr>
        <w:ind w:left="1070" w:hanging="360"/>
      </w:pPr>
      <w:rPr>
        <w:rFonts w:ascii="Calibri" w:eastAsia="Times New Roman" w:hAnsi="Calibri" w:cs="Arial"/>
        <w:b w:val="0"/>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21C70077"/>
    <w:multiLevelType w:val="hybridMultilevel"/>
    <w:tmpl w:val="71146C0E"/>
    <w:lvl w:ilvl="0" w:tplc="04080009">
      <w:start w:val="1"/>
      <w:numFmt w:val="bullet"/>
      <w:lvlText w:val=""/>
      <w:lvlJc w:val="left"/>
      <w:pPr>
        <w:ind w:left="3207" w:hanging="360"/>
      </w:pPr>
      <w:rPr>
        <w:rFonts w:ascii="Wingdings" w:hAnsi="Wingdings" w:hint="default"/>
      </w:rPr>
    </w:lvl>
    <w:lvl w:ilvl="1" w:tplc="04080003" w:tentative="1">
      <w:start w:val="1"/>
      <w:numFmt w:val="bullet"/>
      <w:lvlText w:val="o"/>
      <w:lvlJc w:val="left"/>
      <w:pPr>
        <w:ind w:left="3927" w:hanging="360"/>
      </w:pPr>
      <w:rPr>
        <w:rFonts w:ascii="Courier New" w:hAnsi="Courier New" w:cs="Courier New" w:hint="default"/>
      </w:rPr>
    </w:lvl>
    <w:lvl w:ilvl="2" w:tplc="04080005" w:tentative="1">
      <w:start w:val="1"/>
      <w:numFmt w:val="bullet"/>
      <w:lvlText w:val=""/>
      <w:lvlJc w:val="left"/>
      <w:pPr>
        <w:ind w:left="4647" w:hanging="360"/>
      </w:pPr>
      <w:rPr>
        <w:rFonts w:ascii="Wingdings" w:hAnsi="Wingdings" w:hint="default"/>
      </w:rPr>
    </w:lvl>
    <w:lvl w:ilvl="3" w:tplc="04080001" w:tentative="1">
      <w:start w:val="1"/>
      <w:numFmt w:val="bullet"/>
      <w:lvlText w:val=""/>
      <w:lvlJc w:val="left"/>
      <w:pPr>
        <w:ind w:left="5367" w:hanging="360"/>
      </w:pPr>
      <w:rPr>
        <w:rFonts w:ascii="Symbol" w:hAnsi="Symbol" w:hint="default"/>
      </w:rPr>
    </w:lvl>
    <w:lvl w:ilvl="4" w:tplc="04080003" w:tentative="1">
      <w:start w:val="1"/>
      <w:numFmt w:val="bullet"/>
      <w:lvlText w:val="o"/>
      <w:lvlJc w:val="left"/>
      <w:pPr>
        <w:ind w:left="6087" w:hanging="360"/>
      </w:pPr>
      <w:rPr>
        <w:rFonts w:ascii="Courier New" w:hAnsi="Courier New" w:cs="Courier New" w:hint="default"/>
      </w:rPr>
    </w:lvl>
    <w:lvl w:ilvl="5" w:tplc="04080005" w:tentative="1">
      <w:start w:val="1"/>
      <w:numFmt w:val="bullet"/>
      <w:lvlText w:val=""/>
      <w:lvlJc w:val="left"/>
      <w:pPr>
        <w:ind w:left="6807" w:hanging="360"/>
      </w:pPr>
      <w:rPr>
        <w:rFonts w:ascii="Wingdings" w:hAnsi="Wingdings" w:hint="default"/>
      </w:rPr>
    </w:lvl>
    <w:lvl w:ilvl="6" w:tplc="04080001" w:tentative="1">
      <w:start w:val="1"/>
      <w:numFmt w:val="bullet"/>
      <w:lvlText w:val=""/>
      <w:lvlJc w:val="left"/>
      <w:pPr>
        <w:ind w:left="7527" w:hanging="360"/>
      </w:pPr>
      <w:rPr>
        <w:rFonts w:ascii="Symbol" w:hAnsi="Symbol" w:hint="default"/>
      </w:rPr>
    </w:lvl>
    <w:lvl w:ilvl="7" w:tplc="04080003" w:tentative="1">
      <w:start w:val="1"/>
      <w:numFmt w:val="bullet"/>
      <w:lvlText w:val="o"/>
      <w:lvlJc w:val="left"/>
      <w:pPr>
        <w:ind w:left="8247" w:hanging="360"/>
      </w:pPr>
      <w:rPr>
        <w:rFonts w:ascii="Courier New" w:hAnsi="Courier New" w:cs="Courier New" w:hint="default"/>
      </w:rPr>
    </w:lvl>
    <w:lvl w:ilvl="8" w:tplc="04080005" w:tentative="1">
      <w:start w:val="1"/>
      <w:numFmt w:val="bullet"/>
      <w:lvlText w:val=""/>
      <w:lvlJc w:val="left"/>
      <w:pPr>
        <w:ind w:left="8967" w:hanging="360"/>
      </w:pPr>
      <w:rPr>
        <w:rFonts w:ascii="Wingdings" w:hAnsi="Wingdings" w:hint="default"/>
      </w:rPr>
    </w:lvl>
  </w:abstractNum>
  <w:abstractNum w:abstractNumId="11">
    <w:nsid w:val="24905524"/>
    <w:multiLevelType w:val="hybridMultilevel"/>
    <w:tmpl w:val="128035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27D95F54"/>
    <w:multiLevelType w:val="hybridMultilevel"/>
    <w:tmpl w:val="45F66AF0"/>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nsid w:val="2FF21A00"/>
    <w:multiLevelType w:val="hybridMultilevel"/>
    <w:tmpl w:val="64E407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00446FC"/>
    <w:multiLevelType w:val="hybridMultilevel"/>
    <w:tmpl w:val="FDEA8EF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4F1179"/>
    <w:multiLevelType w:val="hybridMultilevel"/>
    <w:tmpl w:val="8F52DC7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47662AD"/>
    <w:multiLevelType w:val="hybridMultilevel"/>
    <w:tmpl w:val="A872CAE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6C55CB1"/>
    <w:multiLevelType w:val="hybridMultilevel"/>
    <w:tmpl w:val="671C09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DA42E4"/>
    <w:multiLevelType w:val="hybridMultilevel"/>
    <w:tmpl w:val="DFD229AA"/>
    <w:lvl w:ilvl="0" w:tplc="C2DA9EDA">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99A6DA6"/>
    <w:multiLevelType w:val="hybridMultilevel"/>
    <w:tmpl w:val="B2BA0FB4"/>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0">
    <w:nsid w:val="4BEA1FB9"/>
    <w:multiLevelType w:val="hybridMultilevel"/>
    <w:tmpl w:val="4BA44B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5236F41"/>
    <w:multiLevelType w:val="hybridMultilevel"/>
    <w:tmpl w:val="8DDE134E"/>
    <w:lvl w:ilvl="0" w:tplc="118A4F26">
      <w:start w:val="1"/>
      <w:numFmt w:val="bullet"/>
      <w:lvlText w:val=""/>
      <w:lvlJc w:val="left"/>
      <w:pPr>
        <w:ind w:left="1429" w:hanging="360"/>
      </w:pPr>
      <w:rPr>
        <w:rFonts w:ascii="Symbol" w:hAnsi="Symbol" w:hint="default"/>
        <w:color w:val="auto"/>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
    <w:nsid w:val="5A374536"/>
    <w:multiLevelType w:val="hybridMultilevel"/>
    <w:tmpl w:val="FC74A422"/>
    <w:lvl w:ilvl="0" w:tplc="04080009">
      <w:start w:val="1"/>
      <w:numFmt w:val="bullet"/>
      <w:lvlText w:val=""/>
      <w:lvlJc w:val="left"/>
      <w:pPr>
        <w:ind w:left="1170" w:hanging="360"/>
      </w:pPr>
      <w:rPr>
        <w:rFonts w:ascii="Wingdings" w:hAnsi="Wingdings"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23">
    <w:nsid w:val="5F6C0600"/>
    <w:multiLevelType w:val="hybridMultilevel"/>
    <w:tmpl w:val="FC307574"/>
    <w:lvl w:ilvl="0" w:tplc="3B14F90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1D32B3E"/>
    <w:multiLevelType w:val="hybridMultilevel"/>
    <w:tmpl w:val="50F075B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7317EA2"/>
    <w:multiLevelType w:val="hybridMultilevel"/>
    <w:tmpl w:val="B67C22B6"/>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6">
    <w:nsid w:val="6BA0209D"/>
    <w:multiLevelType w:val="hybridMultilevel"/>
    <w:tmpl w:val="D12E4CA4"/>
    <w:lvl w:ilvl="0" w:tplc="04080001">
      <w:start w:val="1"/>
      <w:numFmt w:val="bullet"/>
      <w:lvlText w:val=""/>
      <w:lvlJc w:val="left"/>
      <w:pPr>
        <w:ind w:left="720" w:hanging="360"/>
      </w:pPr>
      <w:rPr>
        <w:rFonts w:ascii="Symbol" w:hAnsi="Symbol" w:hint="default"/>
      </w:rPr>
    </w:lvl>
    <w:lvl w:ilvl="1" w:tplc="D2A0CE78">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D1636FA"/>
    <w:multiLevelType w:val="hybridMultilevel"/>
    <w:tmpl w:val="946A5026"/>
    <w:lvl w:ilvl="0" w:tplc="0408000B">
      <w:start w:val="1"/>
      <w:numFmt w:val="bullet"/>
      <w:lvlText w:val=""/>
      <w:lvlJc w:val="left"/>
      <w:pPr>
        <w:ind w:left="1038" w:hanging="360"/>
      </w:pPr>
      <w:rPr>
        <w:rFonts w:ascii="Wingdings" w:hAnsi="Wingdings" w:hint="default"/>
      </w:rPr>
    </w:lvl>
    <w:lvl w:ilvl="1" w:tplc="04080003" w:tentative="1">
      <w:start w:val="1"/>
      <w:numFmt w:val="bullet"/>
      <w:lvlText w:val="o"/>
      <w:lvlJc w:val="left"/>
      <w:pPr>
        <w:ind w:left="1758" w:hanging="360"/>
      </w:pPr>
      <w:rPr>
        <w:rFonts w:ascii="Courier New" w:hAnsi="Courier New" w:cs="Courier New" w:hint="default"/>
      </w:rPr>
    </w:lvl>
    <w:lvl w:ilvl="2" w:tplc="04080005" w:tentative="1">
      <w:start w:val="1"/>
      <w:numFmt w:val="bullet"/>
      <w:lvlText w:val=""/>
      <w:lvlJc w:val="left"/>
      <w:pPr>
        <w:ind w:left="2478" w:hanging="360"/>
      </w:pPr>
      <w:rPr>
        <w:rFonts w:ascii="Wingdings" w:hAnsi="Wingdings" w:hint="default"/>
      </w:rPr>
    </w:lvl>
    <w:lvl w:ilvl="3" w:tplc="04080001" w:tentative="1">
      <w:start w:val="1"/>
      <w:numFmt w:val="bullet"/>
      <w:lvlText w:val=""/>
      <w:lvlJc w:val="left"/>
      <w:pPr>
        <w:ind w:left="3198" w:hanging="360"/>
      </w:pPr>
      <w:rPr>
        <w:rFonts w:ascii="Symbol" w:hAnsi="Symbol" w:hint="default"/>
      </w:rPr>
    </w:lvl>
    <w:lvl w:ilvl="4" w:tplc="04080003" w:tentative="1">
      <w:start w:val="1"/>
      <w:numFmt w:val="bullet"/>
      <w:lvlText w:val="o"/>
      <w:lvlJc w:val="left"/>
      <w:pPr>
        <w:ind w:left="3918" w:hanging="360"/>
      </w:pPr>
      <w:rPr>
        <w:rFonts w:ascii="Courier New" w:hAnsi="Courier New" w:cs="Courier New" w:hint="default"/>
      </w:rPr>
    </w:lvl>
    <w:lvl w:ilvl="5" w:tplc="04080005" w:tentative="1">
      <w:start w:val="1"/>
      <w:numFmt w:val="bullet"/>
      <w:lvlText w:val=""/>
      <w:lvlJc w:val="left"/>
      <w:pPr>
        <w:ind w:left="4638" w:hanging="360"/>
      </w:pPr>
      <w:rPr>
        <w:rFonts w:ascii="Wingdings" w:hAnsi="Wingdings" w:hint="default"/>
      </w:rPr>
    </w:lvl>
    <w:lvl w:ilvl="6" w:tplc="04080001" w:tentative="1">
      <w:start w:val="1"/>
      <w:numFmt w:val="bullet"/>
      <w:lvlText w:val=""/>
      <w:lvlJc w:val="left"/>
      <w:pPr>
        <w:ind w:left="5358" w:hanging="360"/>
      </w:pPr>
      <w:rPr>
        <w:rFonts w:ascii="Symbol" w:hAnsi="Symbol" w:hint="default"/>
      </w:rPr>
    </w:lvl>
    <w:lvl w:ilvl="7" w:tplc="04080003" w:tentative="1">
      <w:start w:val="1"/>
      <w:numFmt w:val="bullet"/>
      <w:lvlText w:val="o"/>
      <w:lvlJc w:val="left"/>
      <w:pPr>
        <w:ind w:left="6078" w:hanging="360"/>
      </w:pPr>
      <w:rPr>
        <w:rFonts w:ascii="Courier New" w:hAnsi="Courier New" w:cs="Courier New" w:hint="default"/>
      </w:rPr>
    </w:lvl>
    <w:lvl w:ilvl="8" w:tplc="04080005" w:tentative="1">
      <w:start w:val="1"/>
      <w:numFmt w:val="bullet"/>
      <w:lvlText w:val=""/>
      <w:lvlJc w:val="left"/>
      <w:pPr>
        <w:ind w:left="6798" w:hanging="360"/>
      </w:pPr>
      <w:rPr>
        <w:rFonts w:ascii="Wingdings" w:hAnsi="Wingdings" w:hint="default"/>
      </w:rPr>
    </w:lvl>
  </w:abstractNum>
  <w:abstractNum w:abstractNumId="28">
    <w:nsid w:val="6FE151D6"/>
    <w:multiLevelType w:val="hybridMultilevel"/>
    <w:tmpl w:val="69984E6E"/>
    <w:lvl w:ilvl="0" w:tplc="94283CAC">
      <w:start w:val="1"/>
      <w:numFmt w:val="decimal"/>
      <w:lvlText w:val="%1."/>
      <w:lvlJc w:val="left"/>
      <w:pPr>
        <w:ind w:left="720" w:hanging="360"/>
      </w:pPr>
      <w:rPr>
        <w:rFonts w:hint="default"/>
        <w:caps w:val="0"/>
        <w:strike w:val="0"/>
        <w:dstrike w:val="0"/>
        <w:shadow w:val="0"/>
        <w:emboss w:val="0"/>
        <w:imprint w:val="0"/>
        <w:vanish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14D7160"/>
    <w:multiLevelType w:val="hybridMultilevel"/>
    <w:tmpl w:val="0FBC13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40239F9"/>
    <w:multiLevelType w:val="hybridMultilevel"/>
    <w:tmpl w:val="486A5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56F67E1"/>
    <w:multiLevelType w:val="hybridMultilevel"/>
    <w:tmpl w:val="7494AB1E"/>
    <w:lvl w:ilvl="0" w:tplc="154C79C8">
      <w:start w:val="1"/>
      <w:numFmt w:val="decimal"/>
      <w:lvlText w:val="%1)"/>
      <w:lvlJc w:val="left"/>
      <w:pPr>
        <w:ind w:left="1056" w:hanging="63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2">
    <w:nsid w:val="757B4DB0"/>
    <w:multiLevelType w:val="hybridMultilevel"/>
    <w:tmpl w:val="32684C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94C22CD"/>
    <w:multiLevelType w:val="hybridMultilevel"/>
    <w:tmpl w:val="435A1EAE"/>
    <w:lvl w:ilvl="0" w:tplc="0408000B">
      <w:start w:val="1"/>
      <w:numFmt w:val="bullet"/>
      <w:lvlText w:val=""/>
      <w:lvlJc w:val="left"/>
      <w:pPr>
        <w:ind w:left="753" w:hanging="360"/>
      </w:pPr>
      <w:rPr>
        <w:rFonts w:ascii="Wingdings" w:hAnsi="Wingdings"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34">
    <w:nsid w:val="7B2F7B4C"/>
    <w:multiLevelType w:val="hybridMultilevel"/>
    <w:tmpl w:val="BC0455FC"/>
    <w:lvl w:ilvl="0" w:tplc="04080009">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num w:numId="1">
    <w:abstractNumId w:val="26"/>
  </w:num>
  <w:num w:numId="2">
    <w:abstractNumId w:val="32"/>
  </w:num>
  <w:num w:numId="3">
    <w:abstractNumId w:val="28"/>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3"/>
  </w:num>
  <w:num w:numId="8">
    <w:abstractNumId w:val="13"/>
  </w:num>
  <w:num w:numId="9">
    <w:abstractNumId w:val="31"/>
  </w:num>
  <w:num w:numId="10">
    <w:abstractNumId w:val="1"/>
  </w:num>
  <w:num w:numId="11">
    <w:abstractNumId w:val="12"/>
  </w:num>
  <w:num w:numId="12">
    <w:abstractNumId w:val="11"/>
  </w:num>
  <w:num w:numId="13">
    <w:abstractNumId w:val="7"/>
  </w:num>
  <w:num w:numId="14">
    <w:abstractNumId w:val="22"/>
  </w:num>
  <w:num w:numId="15">
    <w:abstractNumId w:val="16"/>
  </w:num>
  <w:num w:numId="16">
    <w:abstractNumId w:val="34"/>
  </w:num>
  <w:num w:numId="17">
    <w:abstractNumId w:val="5"/>
  </w:num>
  <w:num w:numId="18">
    <w:abstractNumId w:val="4"/>
  </w:num>
  <w:num w:numId="19">
    <w:abstractNumId w:val="24"/>
  </w:num>
  <w:num w:numId="20">
    <w:abstractNumId w:val="6"/>
  </w:num>
  <w:num w:numId="21">
    <w:abstractNumId w:val="10"/>
  </w:num>
  <w:num w:numId="22">
    <w:abstractNumId w:val="19"/>
  </w:num>
  <w:num w:numId="23">
    <w:abstractNumId w:val="14"/>
  </w:num>
  <w:num w:numId="24">
    <w:abstractNumId w:val="15"/>
  </w:num>
  <w:num w:numId="25">
    <w:abstractNumId w:val="27"/>
  </w:num>
  <w:num w:numId="26">
    <w:abstractNumId w:val="3"/>
  </w:num>
  <w:num w:numId="27">
    <w:abstractNumId w:val="17"/>
  </w:num>
  <w:num w:numId="28">
    <w:abstractNumId w:val="25"/>
  </w:num>
  <w:num w:numId="29">
    <w:abstractNumId w:val="30"/>
  </w:num>
  <w:num w:numId="30">
    <w:abstractNumId w:val="21"/>
  </w:num>
  <w:num w:numId="31">
    <w:abstractNumId w:val="33"/>
  </w:num>
  <w:num w:numId="32">
    <w:abstractNumId w:val="29"/>
  </w:num>
  <w:num w:numId="33">
    <w:abstractNumId w:val="20"/>
  </w:num>
  <w:num w:numId="34">
    <w:abstractNumId w:val="9"/>
  </w:num>
  <w:num w:numId="35">
    <w:abstractNumId w:val="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hdrShapeDefaults>
    <o:shapedefaults v:ext="edit" spidmax="9218"/>
    <o:shapelayout v:ext="edit">
      <o:idmap v:ext="edit" data="7"/>
      <o:rules v:ext="edit">
        <o:r id="V:Rule2" type="connector" idref="#_x0000_s717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13C"/>
    <w:rsid w:val="000103FD"/>
    <w:rsid w:val="00015007"/>
    <w:rsid w:val="0001520E"/>
    <w:rsid w:val="00016870"/>
    <w:rsid w:val="0001780D"/>
    <w:rsid w:val="00017EFC"/>
    <w:rsid w:val="00020CB0"/>
    <w:rsid w:val="00025621"/>
    <w:rsid w:val="00025779"/>
    <w:rsid w:val="00026067"/>
    <w:rsid w:val="00033D99"/>
    <w:rsid w:val="00035EC7"/>
    <w:rsid w:val="00040140"/>
    <w:rsid w:val="00051E06"/>
    <w:rsid w:val="00054939"/>
    <w:rsid w:val="00056DA7"/>
    <w:rsid w:val="00061ECD"/>
    <w:rsid w:val="00064DE0"/>
    <w:rsid w:val="00070B4B"/>
    <w:rsid w:val="000729D3"/>
    <w:rsid w:val="00072D51"/>
    <w:rsid w:val="0007442D"/>
    <w:rsid w:val="00084427"/>
    <w:rsid w:val="000931BD"/>
    <w:rsid w:val="00093EDE"/>
    <w:rsid w:val="00095EA4"/>
    <w:rsid w:val="000973BB"/>
    <w:rsid w:val="0009745D"/>
    <w:rsid w:val="000A3A48"/>
    <w:rsid w:val="000A5ED9"/>
    <w:rsid w:val="000A6C1E"/>
    <w:rsid w:val="000A7110"/>
    <w:rsid w:val="000B1256"/>
    <w:rsid w:val="000B2D7B"/>
    <w:rsid w:val="000C64F2"/>
    <w:rsid w:val="000C7CFE"/>
    <w:rsid w:val="000D0ECB"/>
    <w:rsid w:val="000D2941"/>
    <w:rsid w:val="000D7ACC"/>
    <w:rsid w:val="000E3DDF"/>
    <w:rsid w:val="000E4543"/>
    <w:rsid w:val="000E73EB"/>
    <w:rsid w:val="000F1DE9"/>
    <w:rsid w:val="0010189B"/>
    <w:rsid w:val="0010318B"/>
    <w:rsid w:val="00107A9C"/>
    <w:rsid w:val="001108BC"/>
    <w:rsid w:val="00120308"/>
    <w:rsid w:val="00124186"/>
    <w:rsid w:val="0012420D"/>
    <w:rsid w:val="00125CDC"/>
    <w:rsid w:val="00131C29"/>
    <w:rsid w:val="001324CF"/>
    <w:rsid w:val="00132CF3"/>
    <w:rsid w:val="001350E1"/>
    <w:rsid w:val="001379EF"/>
    <w:rsid w:val="00137A5D"/>
    <w:rsid w:val="001428C0"/>
    <w:rsid w:val="001453D2"/>
    <w:rsid w:val="0014656D"/>
    <w:rsid w:val="00157729"/>
    <w:rsid w:val="001602EB"/>
    <w:rsid w:val="0016073C"/>
    <w:rsid w:val="0016755A"/>
    <w:rsid w:val="0017424A"/>
    <w:rsid w:val="001742B9"/>
    <w:rsid w:val="00174B54"/>
    <w:rsid w:val="00183D98"/>
    <w:rsid w:val="00186894"/>
    <w:rsid w:val="00187964"/>
    <w:rsid w:val="00196BB7"/>
    <w:rsid w:val="001979A3"/>
    <w:rsid w:val="001A33C5"/>
    <w:rsid w:val="001A661C"/>
    <w:rsid w:val="001A715A"/>
    <w:rsid w:val="001A7C95"/>
    <w:rsid w:val="001B2660"/>
    <w:rsid w:val="001B440F"/>
    <w:rsid w:val="001B4D95"/>
    <w:rsid w:val="001B7EB2"/>
    <w:rsid w:val="001C1662"/>
    <w:rsid w:val="001C217E"/>
    <w:rsid w:val="001C37EB"/>
    <w:rsid w:val="001C4484"/>
    <w:rsid w:val="001C51DC"/>
    <w:rsid w:val="001C53CE"/>
    <w:rsid w:val="001D0DCE"/>
    <w:rsid w:val="001D29AE"/>
    <w:rsid w:val="001D4964"/>
    <w:rsid w:val="001D5ED7"/>
    <w:rsid w:val="001D63C8"/>
    <w:rsid w:val="001D672F"/>
    <w:rsid w:val="001E0BA6"/>
    <w:rsid w:val="001E0F1B"/>
    <w:rsid w:val="001E1863"/>
    <w:rsid w:val="001F4581"/>
    <w:rsid w:val="001F51AF"/>
    <w:rsid w:val="002007E2"/>
    <w:rsid w:val="00204DDA"/>
    <w:rsid w:val="002061C3"/>
    <w:rsid w:val="0020679F"/>
    <w:rsid w:val="002069BA"/>
    <w:rsid w:val="00207641"/>
    <w:rsid w:val="002162BE"/>
    <w:rsid w:val="00216E70"/>
    <w:rsid w:val="00221363"/>
    <w:rsid w:val="0022589F"/>
    <w:rsid w:val="0023165C"/>
    <w:rsid w:val="002366DE"/>
    <w:rsid w:val="00245A55"/>
    <w:rsid w:val="00252ABC"/>
    <w:rsid w:val="002553B5"/>
    <w:rsid w:val="002619A3"/>
    <w:rsid w:val="00265432"/>
    <w:rsid w:val="00273284"/>
    <w:rsid w:val="00277805"/>
    <w:rsid w:val="00283462"/>
    <w:rsid w:val="00286EF6"/>
    <w:rsid w:val="00287B76"/>
    <w:rsid w:val="00295270"/>
    <w:rsid w:val="0029643D"/>
    <w:rsid w:val="00296E20"/>
    <w:rsid w:val="002A3310"/>
    <w:rsid w:val="002A5A1A"/>
    <w:rsid w:val="002B7DE6"/>
    <w:rsid w:val="002C04ED"/>
    <w:rsid w:val="002C0D3A"/>
    <w:rsid w:val="002C1506"/>
    <w:rsid w:val="002C51FD"/>
    <w:rsid w:val="002C7418"/>
    <w:rsid w:val="002D0133"/>
    <w:rsid w:val="002D17F4"/>
    <w:rsid w:val="002D6EB1"/>
    <w:rsid w:val="002D727C"/>
    <w:rsid w:val="002E0040"/>
    <w:rsid w:val="002E0EBE"/>
    <w:rsid w:val="002E3A1A"/>
    <w:rsid w:val="002E3D5F"/>
    <w:rsid w:val="002E5FBA"/>
    <w:rsid w:val="00300A28"/>
    <w:rsid w:val="003141FE"/>
    <w:rsid w:val="0031445D"/>
    <w:rsid w:val="00314730"/>
    <w:rsid w:val="00316911"/>
    <w:rsid w:val="00316E97"/>
    <w:rsid w:val="00327FD4"/>
    <w:rsid w:val="00335761"/>
    <w:rsid w:val="00335EC8"/>
    <w:rsid w:val="00336908"/>
    <w:rsid w:val="0034367C"/>
    <w:rsid w:val="003441B9"/>
    <w:rsid w:val="0034467F"/>
    <w:rsid w:val="00344F8A"/>
    <w:rsid w:val="00345417"/>
    <w:rsid w:val="0035330A"/>
    <w:rsid w:val="00355753"/>
    <w:rsid w:val="00363291"/>
    <w:rsid w:val="00375F27"/>
    <w:rsid w:val="003763B4"/>
    <w:rsid w:val="003838B2"/>
    <w:rsid w:val="00383A48"/>
    <w:rsid w:val="00386E71"/>
    <w:rsid w:val="00393CEC"/>
    <w:rsid w:val="003940E4"/>
    <w:rsid w:val="00394CEF"/>
    <w:rsid w:val="00397A6E"/>
    <w:rsid w:val="003A2ED1"/>
    <w:rsid w:val="003B0E93"/>
    <w:rsid w:val="003B1868"/>
    <w:rsid w:val="003B6BE0"/>
    <w:rsid w:val="003C1878"/>
    <w:rsid w:val="003C3501"/>
    <w:rsid w:val="003C4570"/>
    <w:rsid w:val="003C4AD5"/>
    <w:rsid w:val="003C59DD"/>
    <w:rsid w:val="003C6A0C"/>
    <w:rsid w:val="003D2674"/>
    <w:rsid w:val="003D2D69"/>
    <w:rsid w:val="003D6885"/>
    <w:rsid w:val="003E0A8F"/>
    <w:rsid w:val="003E15FE"/>
    <w:rsid w:val="003E38A4"/>
    <w:rsid w:val="003E3EF8"/>
    <w:rsid w:val="003F2443"/>
    <w:rsid w:val="003F4908"/>
    <w:rsid w:val="003F53CE"/>
    <w:rsid w:val="00402EE0"/>
    <w:rsid w:val="00403BA3"/>
    <w:rsid w:val="004048E9"/>
    <w:rsid w:val="00406340"/>
    <w:rsid w:val="00412FC5"/>
    <w:rsid w:val="00413EF9"/>
    <w:rsid w:val="00415300"/>
    <w:rsid w:val="00422C09"/>
    <w:rsid w:val="00426704"/>
    <w:rsid w:val="00427F64"/>
    <w:rsid w:val="00437C0D"/>
    <w:rsid w:val="0044002E"/>
    <w:rsid w:val="0044178E"/>
    <w:rsid w:val="00454FAF"/>
    <w:rsid w:val="004610D8"/>
    <w:rsid w:val="00463107"/>
    <w:rsid w:val="0046685D"/>
    <w:rsid w:val="00473CDE"/>
    <w:rsid w:val="00476D79"/>
    <w:rsid w:val="00477908"/>
    <w:rsid w:val="004809E8"/>
    <w:rsid w:val="004834BB"/>
    <w:rsid w:val="0048590A"/>
    <w:rsid w:val="0049090E"/>
    <w:rsid w:val="00490E16"/>
    <w:rsid w:val="00495109"/>
    <w:rsid w:val="00497821"/>
    <w:rsid w:val="004A644E"/>
    <w:rsid w:val="004C4221"/>
    <w:rsid w:val="004C5831"/>
    <w:rsid w:val="004C6242"/>
    <w:rsid w:val="004D1344"/>
    <w:rsid w:val="004D626E"/>
    <w:rsid w:val="004D6D82"/>
    <w:rsid w:val="004E0BD4"/>
    <w:rsid w:val="004E43FC"/>
    <w:rsid w:val="004E56C6"/>
    <w:rsid w:val="004E6A0F"/>
    <w:rsid w:val="004F07D5"/>
    <w:rsid w:val="00504748"/>
    <w:rsid w:val="00510581"/>
    <w:rsid w:val="005119E4"/>
    <w:rsid w:val="00515D07"/>
    <w:rsid w:val="00520444"/>
    <w:rsid w:val="005208D7"/>
    <w:rsid w:val="00521006"/>
    <w:rsid w:val="00522462"/>
    <w:rsid w:val="00527471"/>
    <w:rsid w:val="00535B55"/>
    <w:rsid w:val="00536E9F"/>
    <w:rsid w:val="0055207A"/>
    <w:rsid w:val="00552289"/>
    <w:rsid w:val="00553B1C"/>
    <w:rsid w:val="00564CA3"/>
    <w:rsid w:val="00564FBC"/>
    <w:rsid w:val="00571DA5"/>
    <w:rsid w:val="005744D2"/>
    <w:rsid w:val="00581D34"/>
    <w:rsid w:val="00585272"/>
    <w:rsid w:val="00585633"/>
    <w:rsid w:val="00586347"/>
    <w:rsid w:val="005909D5"/>
    <w:rsid w:val="0059114D"/>
    <w:rsid w:val="00595B90"/>
    <w:rsid w:val="005A2289"/>
    <w:rsid w:val="005A3FA2"/>
    <w:rsid w:val="005A4693"/>
    <w:rsid w:val="005B1028"/>
    <w:rsid w:val="005B15C2"/>
    <w:rsid w:val="005C00DC"/>
    <w:rsid w:val="005C5B67"/>
    <w:rsid w:val="005E3AE8"/>
    <w:rsid w:val="005E3FCB"/>
    <w:rsid w:val="005F0802"/>
    <w:rsid w:val="005F2516"/>
    <w:rsid w:val="005F2566"/>
    <w:rsid w:val="005F3AE9"/>
    <w:rsid w:val="00602149"/>
    <w:rsid w:val="006033AA"/>
    <w:rsid w:val="00604190"/>
    <w:rsid w:val="00605502"/>
    <w:rsid w:val="006067D4"/>
    <w:rsid w:val="006111A0"/>
    <w:rsid w:val="0061196C"/>
    <w:rsid w:val="00611E06"/>
    <w:rsid w:val="0061458A"/>
    <w:rsid w:val="00617797"/>
    <w:rsid w:val="00633F0E"/>
    <w:rsid w:val="00642702"/>
    <w:rsid w:val="006442B0"/>
    <w:rsid w:val="00646432"/>
    <w:rsid w:val="00651CE1"/>
    <w:rsid w:val="00654EB3"/>
    <w:rsid w:val="00660DCA"/>
    <w:rsid w:val="00661E03"/>
    <w:rsid w:val="0066287B"/>
    <w:rsid w:val="00662B3D"/>
    <w:rsid w:val="0066392B"/>
    <w:rsid w:val="00664F76"/>
    <w:rsid w:val="00666853"/>
    <w:rsid w:val="0067612B"/>
    <w:rsid w:val="00676758"/>
    <w:rsid w:val="00677A80"/>
    <w:rsid w:val="00681D3E"/>
    <w:rsid w:val="00685C16"/>
    <w:rsid w:val="006860CB"/>
    <w:rsid w:val="006912A6"/>
    <w:rsid w:val="006916B0"/>
    <w:rsid w:val="006A2DF7"/>
    <w:rsid w:val="006A4466"/>
    <w:rsid w:val="006A754F"/>
    <w:rsid w:val="006B5B2F"/>
    <w:rsid w:val="006C1E08"/>
    <w:rsid w:val="006C329A"/>
    <w:rsid w:val="006C4503"/>
    <w:rsid w:val="006C4679"/>
    <w:rsid w:val="006C5A62"/>
    <w:rsid w:val="006D044D"/>
    <w:rsid w:val="006D1244"/>
    <w:rsid w:val="006D276A"/>
    <w:rsid w:val="006D36C0"/>
    <w:rsid w:val="006D4E22"/>
    <w:rsid w:val="006D640C"/>
    <w:rsid w:val="006E0839"/>
    <w:rsid w:val="006E106E"/>
    <w:rsid w:val="006E2329"/>
    <w:rsid w:val="006E2890"/>
    <w:rsid w:val="006F0A98"/>
    <w:rsid w:val="006F3B01"/>
    <w:rsid w:val="00710E12"/>
    <w:rsid w:val="007233BC"/>
    <w:rsid w:val="0072459A"/>
    <w:rsid w:val="00725827"/>
    <w:rsid w:val="00725D29"/>
    <w:rsid w:val="00730221"/>
    <w:rsid w:val="007313B1"/>
    <w:rsid w:val="00731EE1"/>
    <w:rsid w:val="0074273E"/>
    <w:rsid w:val="00743784"/>
    <w:rsid w:val="00747CC9"/>
    <w:rsid w:val="00754055"/>
    <w:rsid w:val="00756C87"/>
    <w:rsid w:val="00762578"/>
    <w:rsid w:val="00776F7F"/>
    <w:rsid w:val="0077707D"/>
    <w:rsid w:val="007807C8"/>
    <w:rsid w:val="007811CF"/>
    <w:rsid w:val="00785872"/>
    <w:rsid w:val="00793C41"/>
    <w:rsid w:val="007A0A94"/>
    <w:rsid w:val="007A47DE"/>
    <w:rsid w:val="007A6BFB"/>
    <w:rsid w:val="007B03D2"/>
    <w:rsid w:val="007B3154"/>
    <w:rsid w:val="007B5D60"/>
    <w:rsid w:val="007C2376"/>
    <w:rsid w:val="007C3F4D"/>
    <w:rsid w:val="007C5949"/>
    <w:rsid w:val="007D0BC9"/>
    <w:rsid w:val="007D1770"/>
    <w:rsid w:val="007F2CD5"/>
    <w:rsid w:val="007F43DE"/>
    <w:rsid w:val="007F4AF8"/>
    <w:rsid w:val="007F4E2E"/>
    <w:rsid w:val="0080213A"/>
    <w:rsid w:val="00802DEE"/>
    <w:rsid w:val="008100C7"/>
    <w:rsid w:val="00811E97"/>
    <w:rsid w:val="00813F31"/>
    <w:rsid w:val="0081475E"/>
    <w:rsid w:val="00822F6E"/>
    <w:rsid w:val="00826BC6"/>
    <w:rsid w:val="00827A0E"/>
    <w:rsid w:val="00827AA9"/>
    <w:rsid w:val="00832B85"/>
    <w:rsid w:val="00835451"/>
    <w:rsid w:val="0084074F"/>
    <w:rsid w:val="00845901"/>
    <w:rsid w:val="00852BFE"/>
    <w:rsid w:val="00861C23"/>
    <w:rsid w:val="008627B8"/>
    <w:rsid w:val="00863827"/>
    <w:rsid w:val="008668FC"/>
    <w:rsid w:val="00876116"/>
    <w:rsid w:val="0087790C"/>
    <w:rsid w:val="00884977"/>
    <w:rsid w:val="00885217"/>
    <w:rsid w:val="008870B2"/>
    <w:rsid w:val="0089244B"/>
    <w:rsid w:val="00892545"/>
    <w:rsid w:val="008935B5"/>
    <w:rsid w:val="00897263"/>
    <w:rsid w:val="008A01A7"/>
    <w:rsid w:val="008A177D"/>
    <w:rsid w:val="008A7610"/>
    <w:rsid w:val="008B239D"/>
    <w:rsid w:val="008B248E"/>
    <w:rsid w:val="008B4B96"/>
    <w:rsid w:val="008B5013"/>
    <w:rsid w:val="008B6FF2"/>
    <w:rsid w:val="008C3BA0"/>
    <w:rsid w:val="008D0806"/>
    <w:rsid w:val="008D3BBD"/>
    <w:rsid w:val="008D6B15"/>
    <w:rsid w:val="008E144F"/>
    <w:rsid w:val="008E4849"/>
    <w:rsid w:val="008E6165"/>
    <w:rsid w:val="008E6264"/>
    <w:rsid w:val="008F0D58"/>
    <w:rsid w:val="008F2C1C"/>
    <w:rsid w:val="008F66FC"/>
    <w:rsid w:val="008F6A48"/>
    <w:rsid w:val="008F79B4"/>
    <w:rsid w:val="009001F3"/>
    <w:rsid w:val="009020D0"/>
    <w:rsid w:val="00904B2B"/>
    <w:rsid w:val="00904C1B"/>
    <w:rsid w:val="00904E31"/>
    <w:rsid w:val="009105C8"/>
    <w:rsid w:val="009114DD"/>
    <w:rsid w:val="00915337"/>
    <w:rsid w:val="00922268"/>
    <w:rsid w:val="009231DE"/>
    <w:rsid w:val="00926C85"/>
    <w:rsid w:val="00931E41"/>
    <w:rsid w:val="0093411A"/>
    <w:rsid w:val="00937DB8"/>
    <w:rsid w:val="00943B4C"/>
    <w:rsid w:val="00945B55"/>
    <w:rsid w:val="00957299"/>
    <w:rsid w:val="00957495"/>
    <w:rsid w:val="00957CB6"/>
    <w:rsid w:val="009674BE"/>
    <w:rsid w:val="009705D5"/>
    <w:rsid w:val="0097313C"/>
    <w:rsid w:val="00974C8C"/>
    <w:rsid w:val="00980A2C"/>
    <w:rsid w:val="00984951"/>
    <w:rsid w:val="009862B6"/>
    <w:rsid w:val="00986A09"/>
    <w:rsid w:val="00994660"/>
    <w:rsid w:val="00995887"/>
    <w:rsid w:val="009A1CFE"/>
    <w:rsid w:val="009A3CB5"/>
    <w:rsid w:val="009A5AC7"/>
    <w:rsid w:val="009A5DD7"/>
    <w:rsid w:val="009B281D"/>
    <w:rsid w:val="009C3C6A"/>
    <w:rsid w:val="009C46EE"/>
    <w:rsid w:val="009C5B39"/>
    <w:rsid w:val="009C6463"/>
    <w:rsid w:val="009C7D45"/>
    <w:rsid w:val="009E2086"/>
    <w:rsid w:val="009E2C79"/>
    <w:rsid w:val="009E672B"/>
    <w:rsid w:val="009F0E19"/>
    <w:rsid w:val="009F56CD"/>
    <w:rsid w:val="00A10AFA"/>
    <w:rsid w:val="00A121FD"/>
    <w:rsid w:val="00A171DE"/>
    <w:rsid w:val="00A201E1"/>
    <w:rsid w:val="00A21EA3"/>
    <w:rsid w:val="00A22826"/>
    <w:rsid w:val="00A25E47"/>
    <w:rsid w:val="00A361EE"/>
    <w:rsid w:val="00A43AF4"/>
    <w:rsid w:val="00A45269"/>
    <w:rsid w:val="00A47CCD"/>
    <w:rsid w:val="00A5230E"/>
    <w:rsid w:val="00A52E99"/>
    <w:rsid w:val="00A5362C"/>
    <w:rsid w:val="00A60F26"/>
    <w:rsid w:val="00A63071"/>
    <w:rsid w:val="00A64DDF"/>
    <w:rsid w:val="00A66692"/>
    <w:rsid w:val="00A67124"/>
    <w:rsid w:val="00A704BC"/>
    <w:rsid w:val="00A74E54"/>
    <w:rsid w:val="00A75B31"/>
    <w:rsid w:val="00A76311"/>
    <w:rsid w:val="00A8356B"/>
    <w:rsid w:val="00A858B0"/>
    <w:rsid w:val="00AA4410"/>
    <w:rsid w:val="00AB1B93"/>
    <w:rsid w:val="00AB490F"/>
    <w:rsid w:val="00AB4BBE"/>
    <w:rsid w:val="00AC2926"/>
    <w:rsid w:val="00AC46BD"/>
    <w:rsid w:val="00AC5569"/>
    <w:rsid w:val="00AC5E75"/>
    <w:rsid w:val="00AC6077"/>
    <w:rsid w:val="00AC6B39"/>
    <w:rsid w:val="00AD1E99"/>
    <w:rsid w:val="00AD2679"/>
    <w:rsid w:val="00AD36A9"/>
    <w:rsid w:val="00AD45E1"/>
    <w:rsid w:val="00AE06DC"/>
    <w:rsid w:val="00AE2DE9"/>
    <w:rsid w:val="00AE5C95"/>
    <w:rsid w:val="00AF0DE0"/>
    <w:rsid w:val="00AF1937"/>
    <w:rsid w:val="00AF416F"/>
    <w:rsid w:val="00AF490A"/>
    <w:rsid w:val="00AF7B24"/>
    <w:rsid w:val="00B03F62"/>
    <w:rsid w:val="00B11BA5"/>
    <w:rsid w:val="00B12B6E"/>
    <w:rsid w:val="00B15F0E"/>
    <w:rsid w:val="00B15F9F"/>
    <w:rsid w:val="00B211E4"/>
    <w:rsid w:val="00B22E13"/>
    <w:rsid w:val="00B22EE3"/>
    <w:rsid w:val="00B23620"/>
    <w:rsid w:val="00B302E1"/>
    <w:rsid w:val="00B31278"/>
    <w:rsid w:val="00B35842"/>
    <w:rsid w:val="00B43050"/>
    <w:rsid w:val="00B463FF"/>
    <w:rsid w:val="00B46943"/>
    <w:rsid w:val="00B47D45"/>
    <w:rsid w:val="00B51728"/>
    <w:rsid w:val="00B523D4"/>
    <w:rsid w:val="00B528FD"/>
    <w:rsid w:val="00B52EC1"/>
    <w:rsid w:val="00B54E5D"/>
    <w:rsid w:val="00B65DA7"/>
    <w:rsid w:val="00B66719"/>
    <w:rsid w:val="00B747CF"/>
    <w:rsid w:val="00B755A2"/>
    <w:rsid w:val="00B82446"/>
    <w:rsid w:val="00B8430E"/>
    <w:rsid w:val="00B8523E"/>
    <w:rsid w:val="00B92B0C"/>
    <w:rsid w:val="00B96475"/>
    <w:rsid w:val="00BA0CAD"/>
    <w:rsid w:val="00BA0D89"/>
    <w:rsid w:val="00BA238D"/>
    <w:rsid w:val="00BA4097"/>
    <w:rsid w:val="00BA6B6D"/>
    <w:rsid w:val="00BA7693"/>
    <w:rsid w:val="00BB3C4E"/>
    <w:rsid w:val="00BB4197"/>
    <w:rsid w:val="00BB4F0C"/>
    <w:rsid w:val="00BB5B05"/>
    <w:rsid w:val="00BB6005"/>
    <w:rsid w:val="00BC0019"/>
    <w:rsid w:val="00BC0EE4"/>
    <w:rsid w:val="00BC1686"/>
    <w:rsid w:val="00BC441D"/>
    <w:rsid w:val="00BC4D7C"/>
    <w:rsid w:val="00BC7CAD"/>
    <w:rsid w:val="00BD1846"/>
    <w:rsid w:val="00BD2853"/>
    <w:rsid w:val="00BD5E32"/>
    <w:rsid w:val="00BE0401"/>
    <w:rsid w:val="00BE1176"/>
    <w:rsid w:val="00BF09D0"/>
    <w:rsid w:val="00BF0CD3"/>
    <w:rsid w:val="00BF79EB"/>
    <w:rsid w:val="00C03D91"/>
    <w:rsid w:val="00C060A2"/>
    <w:rsid w:val="00C1654C"/>
    <w:rsid w:val="00C20A76"/>
    <w:rsid w:val="00C22318"/>
    <w:rsid w:val="00C23D7B"/>
    <w:rsid w:val="00C251C8"/>
    <w:rsid w:val="00C26F18"/>
    <w:rsid w:val="00C303D6"/>
    <w:rsid w:val="00C332F4"/>
    <w:rsid w:val="00C41C00"/>
    <w:rsid w:val="00C51852"/>
    <w:rsid w:val="00C5365A"/>
    <w:rsid w:val="00C56FF9"/>
    <w:rsid w:val="00C572FE"/>
    <w:rsid w:val="00C60981"/>
    <w:rsid w:val="00C65094"/>
    <w:rsid w:val="00C658CE"/>
    <w:rsid w:val="00C73FE8"/>
    <w:rsid w:val="00C76D66"/>
    <w:rsid w:val="00C80358"/>
    <w:rsid w:val="00C83B95"/>
    <w:rsid w:val="00C84E04"/>
    <w:rsid w:val="00C92A19"/>
    <w:rsid w:val="00C92FB5"/>
    <w:rsid w:val="00C946CF"/>
    <w:rsid w:val="00CA0C66"/>
    <w:rsid w:val="00CA0E72"/>
    <w:rsid w:val="00CA191C"/>
    <w:rsid w:val="00CA4CAE"/>
    <w:rsid w:val="00CA55E4"/>
    <w:rsid w:val="00CA7BFF"/>
    <w:rsid w:val="00CB6822"/>
    <w:rsid w:val="00CC54C9"/>
    <w:rsid w:val="00CD3EA7"/>
    <w:rsid w:val="00CE04B5"/>
    <w:rsid w:val="00CE0FAE"/>
    <w:rsid w:val="00CE4016"/>
    <w:rsid w:val="00CE4275"/>
    <w:rsid w:val="00CE476A"/>
    <w:rsid w:val="00CE5B84"/>
    <w:rsid w:val="00CF01FE"/>
    <w:rsid w:val="00CF0A73"/>
    <w:rsid w:val="00CF2389"/>
    <w:rsid w:val="00CF4FBA"/>
    <w:rsid w:val="00CF6AD3"/>
    <w:rsid w:val="00D00444"/>
    <w:rsid w:val="00D027C7"/>
    <w:rsid w:val="00D02BD8"/>
    <w:rsid w:val="00D03503"/>
    <w:rsid w:val="00D06CA2"/>
    <w:rsid w:val="00D147FD"/>
    <w:rsid w:val="00D1588A"/>
    <w:rsid w:val="00D16128"/>
    <w:rsid w:val="00D21E75"/>
    <w:rsid w:val="00D247A8"/>
    <w:rsid w:val="00D27676"/>
    <w:rsid w:val="00D3300B"/>
    <w:rsid w:val="00D33FF6"/>
    <w:rsid w:val="00D3464E"/>
    <w:rsid w:val="00D350BC"/>
    <w:rsid w:val="00D42AC7"/>
    <w:rsid w:val="00D43B6B"/>
    <w:rsid w:val="00D50998"/>
    <w:rsid w:val="00D50DE2"/>
    <w:rsid w:val="00D50EFA"/>
    <w:rsid w:val="00D54E62"/>
    <w:rsid w:val="00D5786E"/>
    <w:rsid w:val="00D621B9"/>
    <w:rsid w:val="00D63515"/>
    <w:rsid w:val="00D64FE9"/>
    <w:rsid w:val="00D707A9"/>
    <w:rsid w:val="00D80846"/>
    <w:rsid w:val="00D813BC"/>
    <w:rsid w:val="00D90936"/>
    <w:rsid w:val="00D90B1D"/>
    <w:rsid w:val="00D97315"/>
    <w:rsid w:val="00DA04D3"/>
    <w:rsid w:val="00DA506D"/>
    <w:rsid w:val="00DA5E08"/>
    <w:rsid w:val="00DB3D08"/>
    <w:rsid w:val="00DB6239"/>
    <w:rsid w:val="00DB7529"/>
    <w:rsid w:val="00DC0D14"/>
    <w:rsid w:val="00DC741A"/>
    <w:rsid w:val="00DD159D"/>
    <w:rsid w:val="00DD2171"/>
    <w:rsid w:val="00DE0707"/>
    <w:rsid w:val="00DE3472"/>
    <w:rsid w:val="00DE4A88"/>
    <w:rsid w:val="00DE4B28"/>
    <w:rsid w:val="00DE707E"/>
    <w:rsid w:val="00DE799F"/>
    <w:rsid w:val="00DF00E8"/>
    <w:rsid w:val="00DF3A70"/>
    <w:rsid w:val="00E07EF6"/>
    <w:rsid w:val="00E14284"/>
    <w:rsid w:val="00E2237B"/>
    <w:rsid w:val="00E35FCB"/>
    <w:rsid w:val="00E3610C"/>
    <w:rsid w:val="00E366D4"/>
    <w:rsid w:val="00E3773A"/>
    <w:rsid w:val="00E423B8"/>
    <w:rsid w:val="00E54BDC"/>
    <w:rsid w:val="00E55248"/>
    <w:rsid w:val="00E601E8"/>
    <w:rsid w:val="00E60FE0"/>
    <w:rsid w:val="00E62FF6"/>
    <w:rsid w:val="00E63478"/>
    <w:rsid w:val="00E7231B"/>
    <w:rsid w:val="00E75331"/>
    <w:rsid w:val="00E7589F"/>
    <w:rsid w:val="00E7608A"/>
    <w:rsid w:val="00E8119F"/>
    <w:rsid w:val="00E86202"/>
    <w:rsid w:val="00E86EAF"/>
    <w:rsid w:val="00E873CA"/>
    <w:rsid w:val="00E925C0"/>
    <w:rsid w:val="00E94F32"/>
    <w:rsid w:val="00E96226"/>
    <w:rsid w:val="00E979E2"/>
    <w:rsid w:val="00EA1B55"/>
    <w:rsid w:val="00EA37F7"/>
    <w:rsid w:val="00EA77B2"/>
    <w:rsid w:val="00EB0761"/>
    <w:rsid w:val="00EB2044"/>
    <w:rsid w:val="00EB7938"/>
    <w:rsid w:val="00EC036A"/>
    <w:rsid w:val="00EC2373"/>
    <w:rsid w:val="00EC4A17"/>
    <w:rsid w:val="00EC68EA"/>
    <w:rsid w:val="00ED1701"/>
    <w:rsid w:val="00ED18D3"/>
    <w:rsid w:val="00ED1AFA"/>
    <w:rsid w:val="00ED342C"/>
    <w:rsid w:val="00ED4759"/>
    <w:rsid w:val="00ED53DD"/>
    <w:rsid w:val="00ED7EF8"/>
    <w:rsid w:val="00EE219D"/>
    <w:rsid w:val="00EE371C"/>
    <w:rsid w:val="00EE59FA"/>
    <w:rsid w:val="00EE661E"/>
    <w:rsid w:val="00EF009A"/>
    <w:rsid w:val="00EF06A2"/>
    <w:rsid w:val="00EF091D"/>
    <w:rsid w:val="00EF1EA4"/>
    <w:rsid w:val="00EF44DB"/>
    <w:rsid w:val="00EF4B9E"/>
    <w:rsid w:val="00F007E5"/>
    <w:rsid w:val="00F00E11"/>
    <w:rsid w:val="00F03180"/>
    <w:rsid w:val="00F055E8"/>
    <w:rsid w:val="00F05B45"/>
    <w:rsid w:val="00F14690"/>
    <w:rsid w:val="00F14C43"/>
    <w:rsid w:val="00F15189"/>
    <w:rsid w:val="00F168DF"/>
    <w:rsid w:val="00F212EC"/>
    <w:rsid w:val="00F303D9"/>
    <w:rsid w:val="00F3194D"/>
    <w:rsid w:val="00F54507"/>
    <w:rsid w:val="00F63936"/>
    <w:rsid w:val="00F67BB2"/>
    <w:rsid w:val="00F67FED"/>
    <w:rsid w:val="00F709D2"/>
    <w:rsid w:val="00F71452"/>
    <w:rsid w:val="00F726D8"/>
    <w:rsid w:val="00F7288F"/>
    <w:rsid w:val="00F74D03"/>
    <w:rsid w:val="00F76529"/>
    <w:rsid w:val="00F77BBB"/>
    <w:rsid w:val="00F81CB3"/>
    <w:rsid w:val="00F876CF"/>
    <w:rsid w:val="00F908E4"/>
    <w:rsid w:val="00F9188D"/>
    <w:rsid w:val="00F94722"/>
    <w:rsid w:val="00F95E62"/>
    <w:rsid w:val="00FA0CF2"/>
    <w:rsid w:val="00FA1FA0"/>
    <w:rsid w:val="00FA22DA"/>
    <w:rsid w:val="00FA4CD2"/>
    <w:rsid w:val="00FA6B2A"/>
    <w:rsid w:val="00FA769B"/>
    <w:rsid w:val="00FB202E"/>
    <w:rsid w:val="00FB50D9"/>
    <w:rsid w:val="00FB512B"/>
    <w:rsid w:val="00FC1DA9"/>
    <w:rsid w:val="00FC2A50"/>
    <w:rsid w:val="00FC4546"/>
    <w:rsid w:val="00FC4854"/>
    <w:rsid w:val="00FC511D"/>
    <w:rsid w:val="00FC52BA"/>
    <w:rsid w:val="00FC6CCA"/>
    <w:rsid w:val="00FD02A4"/>
    <w:rsid w:val="00FD2C70"/>
    <w:rsid w:val="00FE208E"/>
    <w:rsid w:val="00FE400C"/>
    <w:rsid w:val="00FE4358"/>
    <w:rsid w:val="00FF0AA4"/>
    <w:rsid w:val="00FF1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24A"/>
    <w:pPr>
      <w:jc w:val="both"/>
    </w:pPr>
    <w:rPr>
      <w:sz w:val="22"/>
      <w:szCs w:val="22"/>
      <w:lang w:eastAsia="en-US"/>
    </w:rPr>
  </w:style>
  <w:style w:type="paragraph" w:styleId="Heading1">
    <w:name w:val="heading 1"/>
    <w:basedOn w:val="Normal"/>
    <w:link w:val="Heading1Char"/>
    <w:qFormat/>
    <w:rsid w:val="00FA6B2A"/>
    <w:pPr>
      <w:spacing w:before="100" w:beforeAutospacing="1" w:after="100" w:afterAutospacing="1"/>
      <w:jc w:val="center"/>
      <w:outlineLvl w:val="0"/>
    </w:pPr>
    <w:rPr>
      <w:rFonts w:ascii="Arial" w:eastAsia="Times New Roman" w:hAnsi="Arial"/>
      <w:b/>
      <w:bCs/>
      <w:color w:val="005000"/>
      <w:kern w:val="36"/>
      <w:lang w:val="x-none" w:eastAsia="x-none"/>
    </w:rPr>
  </w:style>
  <w:style w:type="paragraph" w:styleId="Heading3">
    <w:name w:val="heading 3"/>
    <w:basedOn w:val="Normal"/>
    <w:next w:val="Normal"/>
    <w:link w:val="Heading3Char"/>
    <w:uiPriority w:val="9"/>
    <w:qFormat/>
    <w:rsid w:val="00B03F62"/>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313C"/>
    <w:pPr>
      <w:spacing w:before="240" w:after="240"/>
      <w:jc w:val="left"/>
    </w:pPr>
    <w:rPr>
      <w:rFonts w:ascii="Times New Roman" w:eastAsia="Times New Roman" w:hAnsi="Times New Roman"/>
      <w:sz w:val="24"/>
      <w:szCs w:val="24"/>
      <w:lang w:eastAsia="el-GR"/>
    </w:rPr>
  </w:style>
  <w:style w:type="character" w:customStyle="1" w:styleId="Heading1Char">
    <w:name w:val="Heading 1 Char"/>
    <w:link w:val="Heading1"/>
    <w:rsid w:val="00FA6B2A"/>
    <w:rPr>
      <w:rFonts w:ascii="Arial" w:eastAsia="Times New Roman" w:hAnsi="Arial" w:cs="Arial"/>
      <w:b/>
      <w:bCs/>
      <w:color w:val="005000"/>
      <w:kern w:val="36"/>
      <w:sz w:val="22"/>
      <w:szCs w:val="22"/>
    </w:rPr>
  </w:style>
  <w:style w:type="character" w:styleId="Hyperlink">
    <w:name w:val="Hyperlink"/>
    <w:uiPriority w:val="99"/>
    <w:unhideWhenUsed/>
    <w:rsid w:val="00D02BD8"/>
    <w:rPr>
      <w:color w:val="0000FF"/>
      <w:u w:val="single"/>
    </w:rPr>
  </w:style>
  <w:style w:type="paragraph" w:styleId="ListParagraph">
    <w:name w:val="List Paragraph"/>
    <w:basedOn w:val="Normal"/>
    <w:uiPriority w:val="34"/>
    <w:qFormat/>
    <w:rsid w:val="00327FD4"/>
    <w:pPr>
      <w:overflowPunct w:val="0"/>
      <w:autoSpaceDE w:val="0"/>
      <w:autoSpaceDN w:val="0"/>
      <w:adjustRightInd w:val="0"/>
      <w:spacing w:line="240" w:lineRule="atLeast"/>
      <w:ind w:left="720"/>
      <w:contextualSpacing/>
      <w:jc w:val="center"/>
      <w:textAlignment w:val="baseline"/>
    </w:pPr>
    <w:rPr>
      <w:rFonts w:ascii="Times New Roman" w:eastAsia="Times New Roman" w:hAnsi="Times New Roman"/>
      <w:sz w:val="20"/>
      <w:szCs w:val="20"/>
      <w:lang w:eastAsia="el-GR"/>
    </w:rPr>
  </w:style>
  <w:style w:type="character" w:customStyle="1" w:styleId="Heading3Char">
    <w:name w:val="Heading 3 Char"/>
    <w:link w:val="Heading3"/>
    <w:uiPriority w:val="9"/>
    <w:semiHidden/>
    <w:rsid w:val="00B03F62"/>
    <w:rPr>
      <w:rFonts w:ascii="Cambria" w:eastAsia="Times New Roman" w:hAnsi="Cambria" w:cs="Times New Roman"/>
      <w:b/>
      <w:bCs/>
      <w:sz w:val="26"/>
      <w:szCs w:val="26"/>
      <w:lang w:eastAsia="en-US"/>
    </w:rPr>
  </w:style>
  <w:style w:type="table" w:styleId="TableGrid">
    <w:name w:val="Table Grid"/>
    <w:basedOn w:val="TableNormal"/>
    <w:uiPriority w:val="59"/>
    <w:rsid w:val="009958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Στυλ1"/>
    <w:uiPriority w:val="1"/>
    <w:rsid w:val="008B239D"/>
    <w:rPr>
      <w:rFonts w:ascii="Calibri" w:hAnsi="Calibri"/>
      <w:b/>
      <w:sz w:val="22"/>
    </w:rPr>
  </w:style>
  <w:style w:type="character" w:customStyle="1" w:styleId="2">
    <w:name w:val="Στυλ2"/>
    <w:uiPriority w:val="1"/>
    <w:rsid w:val="008B239D"/>
    <w:rPr>
      <w:rFonts w:ascii="Calibri" w:hAnsi="Calibri"/>
      <w:b/>
      <w:sz w:val="22"/>
    </w:rPr>
  </w:style>
  <w:style w:type="character" w:customStyle="1" w:styleId="3">
    <w:name w:val="Στυλ3"/>
    <w:uiPriority w:val="1"/>
    <w:rsid w:val="008B239D"/>
    <w:rPr>
      <w:rFonts w:ascii="Calibri" w:hAnsi="Calibri"/>
      <w:b/>
      <w:sz w:val="22"/>
    </w:rPr>
  </w:style>
  <w:style w:type="paragraph" w:styleId="BalloonText">
    <w:name w:val="Balloon Text"/>
    <w:basedOn w:val="Normal"/>
    <w:link w:val="BalloonTextChar"/>
    <w:uiPriority w:val="99"/>
    <w:semiHidden/>
    <w:unhideWhenUsed/>
    <w:rsid w:val="008B239D"/>
    <w:rPr>
      <w:rFonts w:ascii="Tahoma" w:hAnsi="Tahoma"/>
      <w:sz w:val="16"/>
      <w:szCs w:val="16"/>
      <w:lang w:val="x-none"/>
    </w:rPr>
  </w:style>
  <w:style w:type="character" w:customStyle="1" w:styleId="BalloonTextChar">
    <w:name w:val="Balloon Text Char"/>
    <w:link w:val="BalloonText"/>
    <w:uiPriority w:val="99"/>
    <w:semiHidden/>
    <w:rsid w:val="008B239D"/>
    <w:rPr>
      <w:rFonts w:ascii="Tahoma" w:hAnsi="Tahoma" w:cs="Tahoma"/>
      <w:sz w:val="16"/>
      <w:szCs w:val="16"/>
      <w:lang w:eastAsia="en-US"/>
    </w:rPr>
  </w:style>
  <w:style w:type="paragraph" w:styleId="HTMLPreformatted">
    <w:name w:val="HTML Preformatted"/>
    <w:basedOn w:val="Normal"/>
    <w:link w:val="HTMLPreformattedChar"/>
    <w:uiPriority w:val="99"/>
    <w:unhideWhenUsed/>
    <w:rsid w:val="0001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0103FD"/>
    <w:rPr>
      <w:rFonts w:ascii="Courier New" w:eastAsia="Times New Roman" w:hAnsi="Courier New" w:cs="Courier New"/>
    </w:rPr>
  </w:style>
  <w:style w:type="paragraph" w:styleId="Header">
    <w:name w:val="header"/>
    <w:basedOn w:val="Normal"/>
    <w:link w:val="HeaderChar"/>
    <w:uiPriority w:val="99"/>
    <w:semiHidden/>
    <w:unhideWhenUsed/>
    <w:rsid w:val="00E7608A"/>
    <w:pPr>
      <w:tabs>
        <w:tab w:val="center" w:pos="4153"/>
        <w:tab w:val="right" w:pos="8306"/>
      </w:tabs>
    </w:pPr>
    <w:rPr>
      <w:lang w:val="x-none"/>
    </w:rPr>
  </w:style>
  <w:style w:type="character" w:customStyle="1" w:styleId="HeaderChar">
    <w:name w:val="Header Char"/>
    <w:link w:val="Header"/>
    <w:uiPriority w:val="99"/>
    <w:semiHidden/>
    <w:rsid w:val="00E7608A"/>
    <w:rPr>
      <w:sz w:val="22"/>
      <w:szCs w:val="22"/>
      <w:lang w:eastAsia="en-US"/>
    </w:rPr>
  </w:style>
  <w:style w:type="paragraph" w:styleId="Footer">
    <w:name w:val="footer"/>
    <w:basedOn w:val="Normal"/>
    <w:link w:val="FooterChar"/>
    <w:uiPriority w:val="99"/>
    <w:unhideWhenUsed/>
    <w:rsid w:val="00E7608A"/>
    <w:pPr>
      <w:tabs>
        <w:tab w:val="center" w:pos="4153"/>
        <w:tab w:val="right" w:pos="8306"/>
      </w:tabs>
    </w:pPr>
    <w:rPr>
      <w:lang w:val="x-none"/>
    </w:rPr>
  </w:style>
  <w:style w:type="character" w:customStyle="1" w:styleId="FooterChar">
    <w:name w:val="Footer Char"/>
    <w:link w:val="Footer"/>
    <w:uiPriority w:val="99"/>
    <w:rsid w:val="00E7608A"/>
    <w:rPr>
      <w:sz w:val="22"/>
      <w:szCs w:val="22"/>
      <w:lang w:eastAsia="en-US"/>
    </w:rPr>
  </w:style>
  <w:style w:type="character" w:styleId="FollowedHyperlink">
    <w:name w:val="FollowedHyperlink"/>
    <w:rsid w:val="00C5365A"/>
    <w:rPr>
      <w:color w:val="800080"/>
      <w:u w:val="single"/>
    </w:rPr>
  </w:style>
  <w:style w:type="paragraph" w:styleId="BodyTextIndent">
    <w:name w:val="Body Text Indent"/>
    <w:basedOn w:val="Normal"/>
    <w:link w:val="BodyTextIndentChar"/>
    <w:semiHidden/>
    <w:rsid w:val="003C6A0C"/>
    <w:pPr>
      <w:tabs>
        <w:tab w:val="left" w:pos="6521"/>
        <w:tab w:val="left" w:pos="6804"/>
      </w:tabs>
      <w:spacing w:after="120"/>
      <w:ind w:firstLine="284"/>
    </w:pPr>
    <w:rPr>
      <w:rFonts w:ascii="Arial" w:eastAsia="Times New Roman" w:hAnsi="Arial"/>
      <w:sz w:val="24"/>
      <w:szCs w:val="20"/>
      <w:lang w:eastAsia="el-GR"/>
    </w:rPr>
  </w:style>
  <w:style w:type="character" w:customStyle="1" w:styleId="BodyTextIndentChar">
    <w:name w:val="Body Text Indent Char"/>
    <w:basedOn w:val="DefaultParagraphFont"/>
    <w:link w:val="BodyTextIndent"/>
    <w:semiHidden/>
    <w:rsid w:val="003C6A0C"/>
    <w:rPr>
      <w:rFonts w:ascii="Arial" w:eastAsia="Times New Roman" w:hAnsi="Arial"/>
      <w:sz w:val="24"/>
    </w:rPr>
  </w:style>
  <w:style w:type="paragraph" w:customStyle="1" w:styleId="BlockText1">
    <w:name w:val="Block Text1"/>
    <w:basedOn w:val="Normal"/>
    <w:rsid w:val="00725D29"/>
    <w:pPr>
      <w:overflowPunct w:val="0"/>
      <w:autoSpaceDE w:val="0"/>
      <w:autoSpaceDN w:val="0"/>
      <w:adjustRightInd w:val="0"/>
      <w:ind w:left="454" w:right="454"/>
      <w:textAlignment w:val="baseline"/>
    </w:pPr>
    <w:rPr>
      <w:rFonts w:ascii="Times New Roman" w:eastAsia="Times New Roman" w:hAnsi="Times New Roman"/>
      <w:b/>
      <w:spacing w:val="20"/>
      <w:position w:val="-6"/>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449">
      <w:bodyDiv w:val="1"/>
      <w:marLeft w:val="0"/>
      <w:marRight w:val="0"/>
      <w:marTop w:val="0"/>
      <w:marBottom w:val="0"/>
      <w:divBdr>
        <w:top w:val="none" w:sz="0" w:space="0" w:color="auto"/>
        <w:left w:val="none" w:sz="0" w:space="0" w:color="auto"/>
        <w:bottom w:val="none" w:sz="0" w:space="0" w:color="auto"/>
        <w:right w:val="none" w:sz="0" w:space="0" w:color="auto"/>
      </w:divBdr>
    </w:div>
    <w:div w:id="16468651">
      <w:bodyDiv w:val="1"/>
      <w:marLeft w:val="0"/>
      <w:marRight w:val="0"/>
      <w:marTop w:val="0"/>
      <w:marBottom w:val="0"/>
      <w:divBdr>
        <w:top w:val="none" w:sz="0" w:space="0" w:color="auto"/>
        <w:left w:val="none" w:sz="0" w:space="0" w:color="auto"/>
        <w:bottom w:val="none" w:sz="0" w:space="0" w:color="auto"/>
        <w:right w:val="none" w:sz="0" w:space="0" w:color="auto"/>
      </w:divBdr>
    </w:div>
    <w:div w:id="185604595">
      <w:bodyDiv w:val="1"/>
      <w:marLeft w:val="0"/>
      <w:marRight w:val="0"/>
      <w:marTop w:val="0"/>
      <w:marBottom w:val="0"/>
      <w:divBdr>
        <w:top w:val="none" w:sz="0" w:space="0" w:color="auto"/>
        <w:left w:val="none" w:sz="0" w:space="0" w:color="auto"/>
        <w:bottom w:val="none" w:sz="0" w:space="0" w:color="auto"/>
        <w:right w:val="none" w:sz="0" w:space="0" w:color="auto"/>
      </w:divBdr>
      <w:divsChild>
        <w:div w:id="978805537">
          <w:marLeft w:val="0"/>
          <w:marRight w:val="0"/>
          <w:marTop w:val="0"/>
          <w:marBottom w:val="0"/>
          <w:divBdr>
            <w:top w:val="none" w:sz="0" w:space="0" w:color="auto"/>
            <w:left w:val="none" w:sz="0" w:space="0" w:color="auto"/>
            <w:bottom w:val="none" w:sz="0" w:space="0" w:color="auto"/>
            <w:right w:val="none" w:sz="0" w:space="0" w:color="auto"/>
          </w:divBdr>
          <w:divsChild>
            <w:div w:id="1433404044">
              <w:marLeft w:val="0"/>
              <w:marRight w:val="0"/>
              <w:marTop w:val="270"/>
              <w:marBottom w:val="0"/>
              <w:divBdr>
                <w:top w:val="none" w:sz="0" w:space="0" w:color="auto"/>
                <w:left w:val="none" w:sz="0" w:space="0" w:color="auto"/>
                <w:bottom w:val="none" w:sz="0" w:space="0" w:color="auto"/>
                <w:right w:val="none" w:sz="0" w:space="0" w:color="auto"/>
              </w:divBdr>
              <w:divsChild>
                <w:div w:id="313721895">
                  <w:marLeft w:val="0"/>
                  <w:marRight w:val="0"/>
                  <w:marTop w:val="0"/>
                  <w:marBottom w:val="0"/>
                  <w:divBdr>
                    <w:top w:val="none" w:sz="0" w:space="0" w:color="auto"/>
                    <w:left w:val="none" w:sz="0" w:space="0" w:color="auto"/>
                    <w:bottom w:val="none" w:sz="0" w:space="0" w:color="auto"/>
                    <w:right w:val="none" w:sz="0" w:space="0" w:color="auto"/>
                  </w:divBdr>
                  <w:divsChild>
                    <w:div w:id="1613438421">
                      <w:marLeft w:val="0"/>
                      <w:marRight w:val="0"/>
                      <w:marTop w:val="0"/>
                      <w:marBottom w:val="0"/>
                      <w:divBdr>
                        <w:top w:val="none" w:sz="0" w:space="0" w:color="auto"/>
                        <w:left w:val="none" w:sz="0" w:space="0" w:color="auto"/>
                        <w:bottom w:val="none" w:sz="0" w:space="0" w:color="auto"/>
                        <w:right w:val="none" w:sz="0" w:space="0" w:color="auto"/>
                      </w:divBdr>
                      <w:divsChild>
                        <w:div w:id="1384521289">
                          <w:marLeft w:val="0"/>
                          <w:marRight w:val="0"/>
                          <w:marTop w:val="0"/>
                          <w:marBottom w:val="0"/>
                          <w:divBdr>
                            <w:top w:val="none" w:sz="0" w:space="0" w:color="auto"/>
                            <w:left w:val="none" w:sz="0" w:space="0" w:color="auto"/>
                            <w:bottom w:val="none" w:sz="0" w:space="0" w:color="auto"/>
                            <w:right w:val="none" w:sz="0" w:space="0" w:color="auto"/>
                          </w:divBdr>
                          <w:divsChild>
                            <w:div w:id="1744185305">
                              <w:marLeft w:val="0"/>
                              <w:marRight w:val="0"/>
                              <w:marTop w:val="0"/>
                              <w:marBottom w:val="0"/>
                              <w:divBdr>
                                <w:top w:val="none" w:sz="0" w:space="0" w:color="auto"/>
                                <w:left w:val="none" w:sz="0" w:space="0" w:color="auto"/>
                                <w:bottom w:val="none" w:sz="0" w:space="0" w:color="auto"/>
                                <w:right w:val="none" w:sz="0" w:space="0" w:color="auto"/>
                              </w:divBdr>
                              <w:divsChild>
                                <w:div w:id="1636368573">
                                  <w:marLeft w:val="0"/>
                                  <w:marRight w:val="0"/>
                                  <w:marTop w:val="0"/>
                                  <w:marBottom w:val="0"/>
                                  <w:divBdr>
                                    <w:top w:val="none" w:sz="0" w:space="0" w:color="auto"/>
                                    <w:left w:val="none" w:sz="0" w:space="0" w:color="auto"/>
                                    <w:bottom w:val="none" w:sz="0" w:space="0" w:color="auto"/>
                                    <w:right w:val="none" w:sz="0" w:space="0" w:color="auto"/>
                                  </w:divBdr>
                                  <w:divsChild>
                                    <w:div w:id="567804934">
                                      <w:marLeft w:val="0"/>
                                      <w:marRight w:val="0"/>
                                      <w:marTop w:val="0"/>
                                      <w:marBottom w:val="0"/>
                                      <w:divBdr>
                                        <w:top w:val="none" w:sz="0" w:space="0" w:color="auto"/>
                                        <w:left w:val="none" w:sz="0" w:space="0" w:color="auto"/>
                                        <w:bottom w:val="none" w:sz="0" w:space="0" w:color="auto"/>
                                        <w:right w:val="none" w:sz="0" w:space="0" w:color="auto"/>
                                      </w:divBdr>
                                      <w:divsChild>
                                        <w:div w:id="65034487">
                                          <w:marLeft w:val="0"/>
                                          <w:marRight w:val="0"/>
                                          <w:marTop w:val="0"/>
                                          <w:marBottom w:val="0"/>
                                          <w:divBdr>
                                            <w:top w:val="none" w:sz="0" w:space="0" w:color="auto"/>
                                            <w:left w:val="none" w:sz="0" w:space="0" w:color="auto"/>
                                            <w:bottom w:val="none" w:sz="0" w:space="0" w:color="auto"/>
                                            <w:right w:val="none" w:sz="0" w:space="0" w:color="auto"/>
                                          </w:divBdr>
                                          <w:divsChild>
                                            <w:div w:id="62921783">
                                              <w:marLeft w:val="0"/>
                                              <w:marRight w:val="0"/>
                                              <w:marTop w:val="90"/>
                                              <w:marBottom w:val="0"/>
                                              <w:divBdr>
                                                <w:top w:val="none" w:sz="0" w:space="0" w:color="auto"/>
                                                <w:left w:val="none" w:sz="0" w:space="0" w:color="auto"/>
                                                <w:bottom w:val="none" w:sz="0" w:space="0" w:color="auto"/>
                                                <w:right w:val="none" w:sz="0" w:space="0" w:color="auto"/>
                                              </w:divBdr>
                                              <w:divsChild>
                                                <w:div w:id="470171479">
                                                  <w:marLeft w:val="0"/>
                                                  <w:marRight w:val="0"/>
                                                  <w:marTop w:val="0"/>
                                                  <w:marBottom w:val="0"/>
                                                  <w:divBdr>
                                                    <w:top w:val="none" w:sz="0" w:space="0" w:color="auto"/>
                                                    <w:left w:val="none" w:sz="0" w:space="0" w:color="auto"/>
                                                    <w:bottom w:val="none" w:sz="0" w:space="0" w:color="auto"/>
                                                    <w:right w:val="none" w:sz="0" w:space="0" w:color="auto"/>
                                                  </w:divBdr>
                                                  <w:divsChild>
                                                    <w:div w:id="1056582463">
                                                      <w:marLeft w:val="0"/>
                                                      <w:marRight w:val="0"/>
                                                      <w:marTop w:val="0"/>
                                                      <w:marBottom w:val="0"/>
                                                      <w:divBdr>
                                                        <w:top w:val="none" w:sz="0" w:space="0" w:color="auto"/>
                                                        <w:left w:val="none" w:sz="0" w:space="0" w:color="auto"/>
                                                        <w:bottom w:val="none" w:sz="0" w:space="0" w:color="auto"/>
                                                        <w:right w:val="none" w:sz="0" w:space="0" w:color="auto"/>
                                                      </w:divBdr>
                                                      <w:divsChild>
                                                        <w:div w:id="19233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572036">
      <w:bodyDiv w:val="1"/>
      <w:marLeft w:val="0"/>
      <w:marRight w:val="0"/>
      <w:marTop w:val="0"/>
      <w:marBottom w:val="0"/>
      <w:divBdr>
        <w:top w:val="none" w:sz="0" w:space="0" w:color="auto"/>
        <w:left w:val="none" w:sz="0" w:space="0" w:color="auto"/>
        <w:bottom w:val="none" w:sz="0" w:space="0" w:color="auto"/>
        <w:right w:val="none" w:sz="0" w:space="0" w:color="auto"/>
      </w:divBdr>
    </w:div>
    <w:div w:id="382171574">
      <w:bodyDiv w:val="1"/>
      <w:marLeft w:val="0"/>
      <w:marRight w:val="0"/>
      <w:marTop w:val="0"/>
      <w:marBottom w:val="0"/>
      <w:divBdr>
        <w:top w:val="none" w:sz="0" w:space="0" w:color="auto"/>
        <w:left w:val="none" w:sz="0" w:space="0" w:color="auto"/>
        <w:bottom w:val="none" w:sz="0" w:space="0" w:color="auto"/>
        <w:right w:val="none" w:sz="0" w:space="0" w:color="auto"/>
      </w:divBdr>
    </w:div>
    <w:div w:id="591208017">
      <w:bodyDiv w:val="1"/>
      <w:marLeft w:val="0"/>
      <w:marRight w:val="0"/>
      <w:marTop w:val="0"/>
      <w:marBottom w:val="0"/>
      <w:divBdr>
        <w:top w:val="none" w:sz="0" w:space="0" w:color="auto"/>
        <w:left w:val="none" w:sz="0" w:space="0" w:color="auto"/>
        <w:bottom w:val="none" w:sz="0" w:space="0" w:color="auto"/>
        <w:right w:val="none" w:sz="0" w:space="0" w:color="auto"/>
      </w:divBdr>
    </w:div>
    <w:div w:id="833303087">
      <w:bodyDiv w:val="1"/>
      <w:marLeft w:val="0"/>
      <w:marRight w:val="0"/>
      <w:marTop w:val="0"/>
      <w:marBottom w:val="0"/>
      <w:divBdr>
        <w:top w:val="none" w:sz="0" w:space="0" w:color="auto"/>
        <w:left w:val="none" w:sz="0" w:space="0" w:color="auto"/>
        <w:bottom w:val="none" w:sz="0" w:space="0" w:color="auto"/>
        <w:right w:val="none" w:sz="0" w:space="0" w:color="auto"/>
      </w:divBdr>
    </w:div>
    <w:div w:id="967323229">
      <w:bodyDiv w:val="1"/>
      <w:marLeft w:val="0"/>
      <w:marRight w:val="0"/>
      <w:marTop w:val="0"/>
      <w:marBottom w:val="0"/>
      <w:divBdr>
        <w:top w:val="none" w:sz="0" w:space="0" w:color="auto"/>
        <w:left w:val="none" w:sz="0" w:space="0" w:color="auto"/>
        <w:bottom w:val="none" w:sz="0" w:space="0" w:color="auto"/>
        <w:right w:val="none" w:sz="0" w:space="0" w:color="auto"/>
      </w:divBdr>
    </w:div>
    <w:div w:id="1013218436">
      <w:bodyDiv w:val="1"/>
      <w:marLeft w:val="0"/>
      <w:marRight w:val="0"/>
      <w:marTop w:val="0"/>
      <w:marBottom w:val="0"/>
      <w:divBdr>
        <w:top w:val="none" w:sz="0" w:space="0" w:color="auto"/>
        <w:left w:val="none" w:sz="0" w:space="0" w:color="auto"/>
        <w:bottom w:val="none" w:sz="0" w:space="0" w:color="auto"/>
        <w:right w:val="none" w:sz="0" w:space="0" w:color="auto"/>
      </w:divBdr>
    </w:div>
    <w:div w:id="1416631729">
      <w:bodyDiv w:val="1"/>
      <w:marLeft w:val="0"/>
      <w:marRight w:val="0"/>
      <w:marTop w:val="0"/>
      <w:marBottom w:val="0"/>
      <w:divBdr>
        <w:top w:val="none" w:sz="0" w:space="0" w:color="auto"/>
        <w:left w:val="none" w:sz="0" w:space="0" w:color="auto"/>
        <w:bottom w:val="none" w:sz="0" w:space="0" w:color="auto"/>
        <w:right w:val="none" w:sz="0" w:space="0" w:color="auto"/>
      </w:divBdr>
    </w:div>
    <w:div w:id="1539123309">
      <w:bodyDiv w:val="1"/>
      <w:marLeft w:val="0"/>
      <w:marRight w:val="0"/>
      <w:marTop w:val="0"/>
      <w:marBottom w:val="0"/>
      <w:divBdr>
        <w:top w:val="none" w:sz="0" w:space="0" w:color="auto"/>
        <w:left w:val="none" w:sz="0" w:space="0" w:color="auto"/>
        <w:bottom w:val="none" w:sz="0" w:space="0" w:color="auto"/>
        <w:right w:val="none" w:sz="0" w:space="0" w:color="auto"/>
      </w:divBdr>
    </w:div>
    <w:div w:id="16295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10417</Characters>
  <Application>Microsoft Office Word</Application>
  <DocSecurity>4</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Βαθμός Ασφαλείας:</vt:lpstr>
      <vt:lpstr>Βαθμός Ασφαλείας:</vt:lpstr>
    </vt:vector>
  </TitlesOfParts>
  <Company>info-quest</Company>
  <LinksUpToDate>false</LinksUpToDate>
  <CharactersWithSpaces>12321</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Βαθμός Ασφαλείας:</dc:title>
  <dc:subject/>
  <dc:creator>ioi</dc:creator>
  <cp:keywords/>
  <dc:description/>
  <cp:lastModifiedBy>Windows User</cp:lastModifiedBy>
  <cp:revision>2</cp:revision>
  <cp:lastPrinted>2013-06-20T13:16:00Z</cp:lastPrinted>
  <dcterms:created xsi:type="dcterms:W3CDTF">2013-06-21T15:13:00Z</dcterms:created>
  <dcterms:modified xsi:type="dcterms:W3CDTF">2013-06-21T15:13:00Z</dcterms:modified>
</cp:coreProperties>
</file>